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DC" w:rsidRPr="00AA27DC" w:rsidRDefault="00AA27DC" w:rsidP="00B03C78">
      <w:pPr>
        <w:pStyle w:val="Kop1"/>
        <w:jc w:val="both"/>
        <w:rPr>
          <w:rFonts w:eastAsia="Palatino-Bold-Identity-H"/>
        </w:rPr>
      </w:pPr>
      <w:bookmarkStart w:id="0" w:name="_GoBack"/>
      <w:r w:rsidRPr="00AA27DC">
        <w:rPr>
          <w:rFonts w:eastAsia="Palatino-Bold-Identity-H"/>
        </w:rPr>
        <w:t>ERELOON</w:t>
      </w:r>
      <w:r w:rsidR="00B03C78">
        <w:rPr>
          <w:rFonts w:eastAsia="Palatino-Bold-Identity-H"/>
        </w:rPr>
        <w:t xml:space="preserve"> – rechter mag ereloon slechts marginaal toetsen:</w:t>
      </w:r>
    </w:p>
    <w:bookmarkEnd w:id="0"/>
    <w:p w:rsidR="00AA27DC" w:rsidRPr="00AA27DC" w:rsidRDefault="00AA27DC" w:rsidP="00B03C78">
      <w:pPr>
        <w:jc w:val="both"/>
        <w:rPr>
          <w:rFonts w:eastAsia="Palatino-Bold-Identity-H"/>
        </w:rPr>
      </w:pPr>
    </w:p>
    <w:p w:rsidR="00AA27DC" w:rsidRPr="00AA27DC" w:rsidRDefault="00AA27DC" w:rsidP="00B03C78">
      <w:pPr>
        <w:pStyle w:val="Kop2"/>
        <w:jc w:val="both"/>
        <w:rPr>
          <w:rFonts w:eastAsia="Palatino-Roman-Identity-H" w:cs="Palatino-Roman-Identity-H"/>
          <w:sz w:val="20"/>
          <w:szCs w:val="20"/>
        </w:rPr>
      </w:pPr>
      <w:proofErr w:type="spellStart"/>
      <w:r>
        <w:rPr>
          <w:rFonts w:eastAsia="Palatino-Bold-Identity-H"/>
        </w:rPr>
        <w:t>Vred</w:t>
      </w:r>
      <w:proofErr w:type="spellEnd"/>
      <w:r>
        <w:rPr>
          <w:rFonts w:eastAsia="Palatino-Bold-Identity-H"/>
        </w:rPr>
        <w:t xml:space="preserve">. brugge IV, 3 september 2009, </w:t>
      </w:r>
      <w:r w:rsidRPr="00AA27DC">
        <w:rPr>
          <w:rFonts w:eastAsia="Palatino-Roman-Identity-H" w:cs="Palatino-Roman-Identity-H"/>
          <w:sz w:val="20"/>
          <w:szCs w:val="20"/>
        </w:rPr>
        <w:t xml:space="preserve">Vrederechter: A. </w:t>
      </w:r>
      <w:r w:rsidRPr="00AA27DC">
        <w:rPr>
          <w:rFonts w:eastAsia="Palatino-Roman-SC660-Identity-H" w:cs="Palatino-Roman-SC660-Identity-H"/>
          <w:sz w:val="20"/>
          <w:szCs w:val="20"/>
        </w:rPr>
        <w:t>Billiet</w:t>
      </w:r>
      <w:r w:rsidRPr="00AA27DC">
        <w:rPr>
          <w:rFonts w:eastAsia="Palatino-Roman-Identity-H" w:cs="Palatino-Roman-Identity-H"/>
          <w:sz w:val="20"/>
          <w:szCs w:val="20"/>
        </w:rPr>
        <w:t>.</w:t>
      </w:r>
    </w:p>
    <w:p w:rsidR="00AA27DC" w:rsidRDefault="00AA27DC" w:rsidP="00B03C78">
      <w:pPr>
        <w:jc w:val="both"/>
        <w:rPr>
          <w:rFonts w:eastAsia="Palatino-Bold-Identity-H"/>
        </w:rPr>
      </w:pPr>
    </w:p>
    <w:p w:rsidR="00AA27DC" w:rsidRPr="00AA27DC" w:rsidRDefault="00AA27DC" w:rsidP="00B03C78">
      <w:pPr>
        <w:jc w:val="both"/>
        <w:rPr>
          <w:rFonts w:eastAsia="Palatino-Bold-Identity-H"/>
        </w:rPr>
      </w:pPr>
      <w:r w:rsidRPr="00AA27DC">
        <w:rPr>
          <w:rFonts w:eastAsia="Palatino-Bold-Identity-H"/>
        </w:rPr>
        <w:t xml:space="preserve">Ereloon - </w:t>
      </w:r>
      <w:r>
        <w:rPr>
          <w:rFonts w:eastAsia="Palatino-Bold-Identity-H"/>
        </w:rPr>
        <w:t xml:space="preserve">advocaat - weigering het advies </w:t>
      </w:r>
      <w:r w:rsidRPr="00AA27DC">
        <w:rPr>
          <w:rFonts w:eastAsia="Palatino-Bold-Identity-H"/>
        </w:rPr>
        <w:t>van de Raad van de Orde in te winnen</w:t>
      </w:r>
      <w:r>
        <w:rPr>
          <w:rFonts w:eastAsia="Palatino-Bold-Identity-H"/>
        </w:rPr>
        <w:t xml:space="preserve"> </w:t>
      </w:r>
      <w:r w:rsidRPr="00AA27DC">
        <w:rPr>
          <w:rFonts w:eastAsia="Palatino-Bold-Identity-H"/>
        </w:rPr>
        <w:t>- begroting door de rechter.</w:t>
      </w:r>
    </w:p>
    <w:p w:rsidR="00F26FA9" w:rsidRPr="00AA27DC" w:rsidRDefault="00AA27DC" w:rsidP="00B03C78">
      <w:pPr>
        <w:jc w:val="both"/>
        <w:rPr>
          <w:rFonts w:eastAsia="Palatino-Italic-Identity-H" w:cs="Palatino-Italic-Identity-H"/>
          <w:i/>
          <w:iCs/>
        </w:rPr>
      </w:pPr>
      <w:r w:rsidRPr="00AA27DC">
        <w:rPr>
          <w:rFonts w:eastAsia="Palatino-Italic-Identity-H" w:cs="Palatino-Italic-Identity-H"/>
          <w:i/>
          <w:iCs/>
        </w:rPr>
        <w:t>Het behoort de rechter zelf een staat van ereloon</w:t>
      </w:r>
      <w:r>
        <w:rPr>
          <w:rFonts w:eastAsia="Palatino-Italic-Identity-H" w:cs="Palatino-Italic-Identity-H"/>
          <w:i/>
          <w:iCs/>
        </w:rPr>
        <w:t xml:space="preserve"> </w:t>
      </w:r>
      <w:r w:rsidRPr="00AA27DC">
        <w:rPr>
          <w:rFonts w:eastAsia="Palatino-Italic-Identity-H" w:cs="Palatino-Italic-Identity-H"/>
          <w:i/>
          <w:iCs/>
        </w:rPr>
        <w:t>en kosten van een advocaat te beoordelen.</w:t>
      </w:r>
      <w:r>
        <w:rPr>
          <w:rFonts w:eastAsia="Palatino-Italic-Identity-H" w:cs="Palatino-Italic-Identity-H"/>
          <w:i/>
          <w:iCs/>
        </w:rPr>
        <w:t xml:space="preserve"> </w:t>
      </w:r>
      <w:r w:rsidRPr="00AA27DC">
        <w:rPr>
          <w:rFonts w:eastAsia="Palatino-Italic-Identity-H" w:cs="Palatino-Italic-Identity-H"/>
          <w:i/>
          <w:iCs/>
        </w:rPr>
        <w:t>Een advies van de Raad van de Orde van</w:t>
      </w:r>
      <w:r>
        <w:rPr>
          <w:rFonts w:eastAsia="Palatino-Italic-Identity-H" w:cs="Palatino-Italic-Identity-H"/>
          <w:i/>
          <w:iCs/>
        </w:rPr>
        <w:t xml:space="preserve"> </w:t>
      </w:r>
      <w:r w:rsidRPr="00AA27DC">
        <w:rPr>
          <w:rFonts w:eastAsia="Palatino-Italic-Identity-H" w:cs="Palatino-Italic-Identity-H"/>
          <w:i/>
          <w:iCs/>
        </w:rPr>
        <w:t>Advocaten kan, maar moet niet worden gevraagd.</w:t>
      </w:r>
      <w:r>
        <w:rPr>
          <w:rFonts w:eastAsia="Palatino-Italic-Identity-H" w:cs="Palatino-Italic-Identity-H"/>
          <w:i/>
          <w:iCs/>
        </w:rPr>
        <w:t xml:space="preserve"> </w:t>
      </w:r>
      <w:r w:rsidRPr="00AA27DC">
        <w:rPr>
          <w:rFonts w:eastAsia="Palatino-Italic-Identity-H" w:cs="Palatino-Italic-Identity-H"/>
          <w:i/>
          <w:iCs/>
        </w:rPr>
        <w:t>Dat advies dient zich te schikken</w:t>
      </w:r>
      <w:r>
        <w:rPr>
          <w:rFonts w:eastAsia="Palatino-Italic-Identity-H" w:cs="Palatino-Italic-Identity-H"/>
          <w:i/>
          <w:iCs/>
        </w:rPr>
        <w:t xml:space="preserve"> </w:t>
      </w:r>
      <w:r w:rsidRPr="00AA27DC">
        <w:rPr>
          <w:rFonts w:eastAsia="Palatino-Italic-Identity-H" w:cs="Palatino-Italic-Identity-H"/>
          <w:i/>
          <w:iCs/>
        </w:rPr>
        <w:t>naar artikel 962 Ger.W.</w:t>
      </w:r>
    </w:p>
    <w:p w:rsidR="00AA27DC" w:rsidRDefault="00AA27DC" w:rsidP="00B03C78">
      <w:pPr>
        <w:jc w:val="both"/>
        <w:rPr>
          <w:rFonts w:eastAsia="Palatino-Roman-Identity-H"/>
        </w:rPr>
      </w:pPr>
    </w:p>
    <w:p w:rsidR="00AA27DC" w:rsidRPr="00AA27DC" w:rsidRDefault="00AA27DC" w:rsidP="00B03C78">
      <w:pPr>
        <w:jc w:val="both"/>
        <w:rPr>
          <w:rFonts w:eastAsia="Palatino-Roman-Identity-H"/>
        </w:rPr>
      </w:pPr>
      <w:r w:rsidRPr="00AA27DC">
        <w:rPr>
          <w:rFonts w:eastAsia="Palatino-Roman-Identity-H"/>
        </w:rPr>
        <w:t>Overwegende dat bij dagvaarding van</w:t>
      </w:r>
      <w:r w:rsidRPr="00AA27DC">
        <w:rPr>
          <w:rFonts w:eastAsia="Palatino-Roman-Identity-H"/>
        </w:rPr>
        <w:t xml:space="preserve"> </w:t>
      </w:r>
      <w:r w:rsidRPr="00AA27DC">
        <w:rPr>
          <w:rFonts w:eastAsia="Palatino-Roman-Identity-H"/>
        </w:rPr>
        <w:t>27 januari 2009 eisende partij veroordeling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vordert van verwerende partij tot</w:t>
      </w:r>
      <w:r w:rsidRPr="00AA27DC"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betaling van een bedrag van 1.634,33</w:t>
      </w:r>
      <w:r w:rsidRPr="00AA27DC"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euro meer de kosten;</w:t>
      </w:r>
      <w:r w:rsidRPr="00AA27DC"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ter staving van deze vordering uiteengezet</w:t>
      </w:r>
      <w:r w:rsidRPr="00AA27DC"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wordt dat eisende partij als</w:t>
      </w:r>
      <w:r w:rsidRPr="00AA27DC"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raadsman van de verzekerde van verweerster</w:t>
      </w:r>
      <w:r w:rsidRPr="00AA27DC">
        <w:rPr>
          <w:rFonts w:eastAsia="Palatino-Roman-Identity-H" w:cs="Palatino-Roman-Identity-H"/>
        </w:rPr>
        <w:t xml:space="preserve"> V. is opgetreden en in die H</w:t>
      </w:r>
      <w:r w:rsidRPr="00AA27DC">
        <w:rPr>
          <w:rFonts w:eastAsia="Palatino-Roman-Identity-H" w:cs="Palatino-Roman-Identity-H"/>
        </w:rPr>
        <w:t>oedanigheid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aan verwerende partij een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aantal staten van kosten en erelonen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heeft overgemaakt waarvoor zij gedeeltelijk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onbetaald bleef tot beloop van in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totaal 1.634,33 euro;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deze omstandigheden voormelde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vordering gesteld werd;</w:t>
      </w:r>
    </w:p>
    <w:p w:rsid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dan ter inleidingszitting verwerende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partij verschijnt, en in besluiten vooreerst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laat gelden dat zij betwisting voert m.b.t.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aangerekende uren en het uurtarief;</w:t>
      </w:r>
      <w:r>
        <w:rPr>
          <w:rFonts w:eastAsia="Palatino-Roman-Identity-H" w:cs="Palatino-Roman-Identity-H"/>
        </w:rPr>
        <w:t xml:space="preserve"> 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daa</w:t>
      </w:r>
      <w:r>
        <w:rPr>
          <w:rFonts w:eastAsia="Palatino-Roman-Identity-H" w:cs="Palatino-Roman-Identity-H"/>
        </w:rPr>
        <w:t xml:space="preserve">rnaast betwisting gevoerd wordt </w:t>
      </w:r>
      <w:r w:rsidRPr="00AA27DC">
        <w:rPr>
          <w:rFonts w:eastAsia="Palatino-Roman-Identity-H" w:cs="Palatino-Roman-Identity-H"/>
        </w:rPr>
        <w:t xml:space="preserve">m.b.t. de </w:t>
      </w:r>
      <w:proofErr w:type="spellStart"/>
      <w:r w:rsidRPr="00AA27DC">
        <w:rPr>
          <w:rFonts w:eastAsia="Palatino-Roman-Identity-H" w:cs="Palatino-Roman-Identity-H"/>
        </w:rPr>
        <w:t>intransparantie</w:t>
      </w:r>
      <w:proofErr w:type="spellEnd"/>
      <w:r w:rsidRPr="00AA27DC">
        <w:rPr>
          <w:rFonts w:eastAsia="Palatino-Roman-Identity-H" w:cs="Palatino-Roman-Identity-H"/>
        </w:rPr>
        <w:t xml:space="preserve"> van de opeenvolgende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staten;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ten slotte de gevorderde bedragen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niet overeenstemmen met billijke gematigdheid;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daarop in besluiten geantwoord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wordt dat de behandelde zaak een verkeersongeval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betrof ingevolge waarvan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verweersters verzekerde gedagvaard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werd voor de politierechtbank te Brugge,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wegens miskenning van de voorrangsplicht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en de daaruit voortvloeiende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kwetsuren, in het rijden van een voertuig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niet verzekerd was;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door verweersters verzekerde opdracht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gegeven werd tot rechtstreekse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dagvaarding van de oorspronkelijke burgerlijke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partij C., die weliswaar vervolgd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was voor snelheid maar niet voor slagen,</w:t>
      </w:r>
      <w:r>
        <w:rPr>
          <w:rFonts w:eastAsia="Palatino-Roman-Identity-H" w:cs="Palatino-Roman-Identity-H"/>
        </w:rPr>
        <w:t xml:space="preserve"> </w:t>
      </w:r>
      <w:proofErr w:type="spellStart"/>
      <w:r w:rsidRPr="00AA27DC">
        <w:rPr>
          <w:rFonts w:eastAsia="Palatino-Roman-Identity-H" w:cs="Palatino-Roman-Identity-H"/>
        </w:rPr>
        <w:t>gevolgens</w:t>
      </w:r>
      <w:proofErr w:type="spellEnd"/>
      <w:r w:rsidRPr="00AA27DC">
        <w:rPr>
          <w:rFonts w:eastAsia="Palatino-Roman-Identity-H" w:cs="Palatino-Roman-Identity-H"/>
        </w:rPr>
        <w:t xml:space="preserve"> waaraan C. ook veroordeeld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werd zowel in eerste aanleg als in graad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beroep voor onopzettelijke slagen 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verwondingen, en overigens in graad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beroep de heer V. voor het rijden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zonder verzekering werd vrijgesproken;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het raam daarvan een aantal tussentijdse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staten en één eindstaat werd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opgesteld;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geen ereloonovereenkomst werd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afgesloten tussen partijen;</w:t>
      </w:r>
      <w:r>
        <w:rPr>
          <w:rFonts w:eastAsia="Palatino-Roman-Identity-H" w:cs="Palatino-Roman-Identity-H"/>
        </w:rPr>
        <w:t xml:space="preserve"> 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evenwel van meet af aan verwerende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partij zich ter zake de kosten en ereloonstaten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eisende partij bijzonder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 xml:space="preserve">kritisch heeft uitgelaten, het </w:t>
      </w:r>
      <w:proofErr w:type="spellStart"/>
      <w:r w:rsidRPr="00AA27DC">
        <w:rPr>
          <w:rFonts w:eastAsia="Palatino-Roman-Identity-H" w:cs="Palatino-Roman-Identity-H"/>
        </w:rPr>
        <w:t>conlict</w:t>
      </w:r>
      <w:proofErr w:type="spellEnd"/>
      <w:r w:rsidRPr="00AA27DC">
        <w:rPr>
          <w:rFonts w:eastAsia="Palatino-Roman-Identity-H" w:cs="Palatino-Roman-Identity-H"/>
        </w:rPr>
        <w:t xml:space="preserve"> op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 xml:space="preserve">de spits gedreven heeft </w:t>
      </w:r>
      <w:proofErr w:type="spellStart"/>
      <w:r w:rsidRPr="00AA27DC">
        <w:rPr>
          <w:rFonts w:eastAsia="Palatino-Roman-Identity-H" w:cs="Palatino-Roman-Identity-H"/>
        </w:rPr>
        <w:t>gevolgens</w:t>
      </w:r>
      <w:proofErr w:type="spellEnd"/>
      <w:r w:rsidRPr="00AA27DC">
        <w:rPr>
          <w:rFonts w:eastAsia="Palatino-Roman-Identity-H" w:cs="Palatino-Roman-Identity-H"/>
        </w:rPr>
        <w:t xml:space="preserve"> waaraan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eiseres in een ultieme poging tot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minnelijke regeling bereid kon gevonden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worden toegevingen te doen ter zake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bedragen, welke evenwel niet werden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aanvaard en dat in die omstandigheden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tot eindfacturatie werd overgegaan conform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gebruikelijke tarieven zodanig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de huidige vordering gesteld werd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lastRenderedPageBreak/>
        <w:t>Dat verder onderlijnd werd dat de verwerende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partij eender hoe bij schrijven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7 augustus 2008 blijk gaf van erkenning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er zeker nog een bedrag verschuldigd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was;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deze omstandigheden de vordering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ontvankelijk en gegrond is;</w:t>
      </w:r>
    </w:p>
    <w:p w:rsid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Overwegende dat verder nazicht van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bundels het bewijs oplevert dat eisende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partij minstens een rechtstreekse dagvaarding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heeft uitgestuurd, verder in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beroep besluiten heeft neergelegd, en dat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het vonnis in graad van hoger beroep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succesvol was t.o.v. dat in eerste aanleg;</w:t>
      </w:r>
      <w:r>
        <w:rPr>
          <w:rFonts w:eastAsia="Palatino-Roman-Identity-H" w:cs="Palatino-Roman-Identity-H"/>
        </w:rPr>
        <w:t xml:space="preserve"> 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Overwegende dat ter zake de principes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rechtbank vooreerst dient vast te stellen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een overeenkomst tussen een advocaat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en zijn cliënt een overeenkomst is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welke ressorteert onder de toepassing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artikel 1134-1135 BW;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aldus in wezen het mandaat van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advocaat verstrekt wordt door zijn cliënt,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en niet door de verzekeraar die ter zake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 xml:space="preserve">enkel </w:t>
      </w:r>
      <w:proofErr w:type="spellStart"/>
      <w:r w:rsidRPr="00AA27DC">
        <w:rPr>
          <w:rFonts w:eastAsia="Palatino-Roman-Identity-H" w:cs="Palatino-Roman-Identity-H"/>
        </w:rPr>
        <w:t>betaalheer</w:t>
      </w:r>
      <w:proofErr w:type="spellEnd"/>
      <w:r w:rsidRPr="00AA27DC">
        <w:rPr>
          <w:rFonts w:eastAsia="Palatino-Roman-Identity-H" w:cs="Palatino-Roman-Identity-H"/>
        </w:rPr>
        <w:t xml:space="preserve"> is </w:t>
      </w:r>
      <w:proofErr w:type="spellStart"/>
      <w:r w:rsidRPr="00AA27DC">
        <w:rPr>
          <w:rFonts w:eastAsia="Palatino-Roman-Identity-H" w:cs="Palatino-Roman-Identity-H"/>
        </w:rPr>
        <w:t>gevolgens</w:t>
      </w:r>
      <w:proofErr w:type="spellEnd"/>
      <w:r w:rsidRPr="00AA27DC">
        <w:rPr>
          <w:rFonts w:eastAsia="Palatino-Roman-Identity-H" w:cs="Palatino-Roman-Identity-H"/>
        </w:rPr>
        <w:t xml:space="preserve"> een verzekeringsovereenkomst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gesloten tussen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haar verzekerde en zijzelf waaraan in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principe bij sluiting de advocaat vreemd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is, maar dat wel een beding ten behoeve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een derde bevat in die zin dat het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 xml:space="preserve">beding tot de </w:t>
      </w:r>
      <w:proofErr w:type="spellStart"/>
      <w:r w:rsidRPr="00AA27DC">
        <w:rPr>
          <w:rFonts w:eastAsia="Palatino-Roman-Identity-H" w:cs="Palatino-Roman-Identity-H"/>
        </w:rPr>
        <w:t>lastename</w:t>
      </w:r>
      <w:proofErr w:type="spellEnd"/>
      <w:r w:rsidRPr="00AA27DC">
        <w:rPr>
          <w:rFonts w:eastAsia="Palatino-Roman-Identity-H" w:cs="Palatino-Roman-Identity-H"/>
        </w:rPr>
        <w:t xml:space="preserve"> van de verzekeraar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in de verzekeringsovereenkomst een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recht creëert voor de advocaat om het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voorwerp van het beding in te vorderen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t.o.v. de gebonden partij;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deze omstandigheden, waar overigens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rechtbank dient vast te stellen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verwerende partij nergens opwerpt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er geen verbintenisrechtelijke grondslag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 xml:space="preserve">is voor eiseres vordering </w:t>
      </w:r>
      <w:proofErr w:type="spellStart"/>
      <w:r w:rsidRPr="00AA27DC">
        <w:rPr>
          <w:rFonts w:eastAsia="Palatino-Roman-Identity-H" w:cs="Palatino-Roman-Identity-H"/>
        </w:rPr>
        <w:t>opzichtens</w:t>
      </w:r>
      <w:proofErr w:type="spellEnd"/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haar, en daarenboven uit de stukken ten</w:t>
      </w:r>
      <w:r>
        <w:rPr>
          <w:rFonts w:eastAsia="Palatino-Roman-Identity-H" w:cs="Palatino-Roman-Identity-H"/>
        </w:rPr>
        <w:t xml:space="preserve"> </w:t>
      </w:r>
      <w:proofErr w:type="spellStart"/>
      <w:r w:rsidRPr="00AA27DC">
        <w:rPr>
          <w:rFonts w:eastAsia="Palatino-Roman-Identity-H" w:cs="Palatino-Roman-Identity-H"/>
        </w:rPr>
        <w:t>genoege</w:t>
      </w:r>
      <w:proofErr w:type="spellEnd"/>
      <w:r w:rsidRPr="00AA27DC">
        <w:rPr>
          <w:rFonts w:eastAsia="Palatino-Roman-Identity-H" w:cs="Palatino-Roman-Identity-H"/>
        </w:rPr>
        <w:t xml:space="preserve"> van rechte blijkt dat het beding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ten behoeve van derden ten voordele van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eisende partij door verwerende partij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erkend werd, de rechtbank tot de conclusie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dient te komen dat er vooreerst een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rechtsband is tussen partijen, en bijgevolg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vordering ook ontvankelijk is;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Overwegende dat m.b.t. de grond van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vorderin</w:t>
      </w:r>
      <w:r>
        <w:rPr>
          <w:rFonts w:eastAsia="Palatino-Roman-Identity-H" w:cs="Palatino-Roman-Identity-H"/>
        </w:rPr>
        <w:t>g, de rechtbank dient te releve</w:t>
      </w:r>
      <w:r w:rsidRPr="00AA27DC">
        <w:rPr>
          <w:rFonts w:eastAsia="Palatino-Roman-Identity-H" w:cs="Palatino-Roman-Identity-H"/>
        </w:rPr>
        <w:t>ren dat er ter zake tussen partijen geen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ereloonovereenkomst werd opgesteld;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deze omstandigheden bij toepassing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artikel 446ter Ger.W. het de advocaat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is welke de staat van kosten 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erelonen redigeert, conform de termen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artikel 446ter overigens met de bescheidenheid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die van een functie verwacht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wordt;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de verdere redactie van artikel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446ter, zoals herschreven bij wet van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21 juni 2006, duidelijk maakt dat niet enkel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Raad van de Orde maar ook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rechtbanken toezicht hebben op de staten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met een inachtneming van de belangrijkheid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</w:t>
      </w:r>
      <w:r>
        <w:rPr>
          <w:rFonts w:eastAsia="Palatino-Roman-Identity-H" w:cs="Palatino-Roman-Identity-H"/>
        </w:rPr>
        <w:t xml:space="preserve"> de zaak, de aard van het werk, </w:t>
      </w:r>
      <w:r w:rsidRPr="00AA27DC">
        <w:rPr>
          <w:rFonts w:eastAsia="Palatino-Roman-Identity-H" w:cs="Palatino-Roman-Identity-H"/>
        </w:rPr>
        <w:t>en dit recht overigens ook uitgebreid is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tot de ingestelde scheidsgerechten;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deze omstandigheden de argumentatie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het passend voorkomt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zaak na het advies van de Raad van 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Orde te Brugge te onderwerpen ongegrond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is;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overigens de adviezen van de Raad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de Orde kunnen worden aanzien als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adviezen in de zin van artikel 962 Ger.W.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en derhalve geen enkel obligatoir karakter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inhouden nu voormelde wetsbepaling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inhoudt dat een rechter ter oplossing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van een voor hem gebracht geschil deskundigen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kan gelasten vaststellingen te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doen of technisch advies te geven;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evenwel artikel 962 Ger.W. geen enkele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verplichting inhoudt voor de rechtbank;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Dat in casu de rechtbank over voldoende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technische kennis beschikt om het dossier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met kennis van zaken te kunnen oplossen;</w:t>
      </w:r>
    </w:p>
    <w:p w:rsidR="00AA27DC" w:rsidRP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t>Overwegende dat verder uit de redactie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 xml:space="preserve">van artikel 446ter Ger.W. volgt 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dat het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recht de redactie van een staat van kosten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en erelonen op te maken een bij wet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opgedragen partijbeslissingsrecht is dat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de advocaat toekomt;</w:t>
      </w:r>
    </w:p>
    <w:p w:rsidR="00AA27DC" w:rsidRDefault="00AA27DC" w:rsidP="00B03C78">
      <w:pPr>
        <w:jc w:val="both"/>
        <w:rPr>
          <w:rFonts w:eastAsia="Palatino-Roman-Identity-H" w:cs="Palatino-Roman-Identity-H"/>
        </w:rPr>
      </w:pPr>
      <w:r w:rsidRPr="00AA27DC">
        <w:rPr>
          <w:rFonts w:eastAsia="Palatino-Roman-Identity-H" w:cs="Palatino-Roman-Identity-H"/>
        </w:rPr>
        <w:lastRenderedPageBreak/>
        <w:t>Dat derhalve daarvan enkel bij overeenkomst</w:t>
      </w:r>
      <w:r>
        <w:rPr>
          <w:rFonts w:eastAsia="Palatino-Roman-Identity-H" w:cs="Palatino-Roman-Identity-H"/>
        </w:rPr>
        <w:t xml:space="preserve"> </w:t>
      </w:r>
      <w:r w:rsidRPr="00AA27DC">
        <w:rPr>
          <w:rFonts w:eastAsia="Palatino-Roman-Identity-H" w:cs="Palatino-Roman-Identity-H"/>
        </w:rPr>
        <w:t>kan worden afgeweken;</w:t>
      </w:r>
    </w:p>
    <w:p w:rsidR="00AA27DC" w:rsidRPr="006558CF" w:rsidRDefault="00AA27DC" w:rsidP="00B03C78">
      <w:pPr>
        <w:jc w:val="both"/>
        <w:rPr>
          <w:rFonts w:eastAsia="Palatino-Roman-Identity-H"/>
        </w:rPr>
      </w:pPr>
    </w:p>
    <w:p w:rsidR="00AA27DC" w:rsidRPr="006558CF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het in deze omstandigheid alleen de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advocaat is welke niet enkel het systeem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kiest volgens hetwelke dat hij zijn prestaties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zal gaan begroten,</w:t>
      </w:r>
      <w:r w:rsidR="006558CF" w:rsidRPr="006558CF">
        <w:rPr>
          <w:rFonts w:eastAsia="Palatino-Roman-Identity-H"/>
        </w:rPr>
        <w:t xml:space="preserve"> maar ook met </w:t>
      </w:r>
      <w:r w:rsidRPr="006558CF">
        <w:rPr>
          <w:rFonts w:eastAsia="Palatino-Roman-Identity-H"/>
        </w:rPr>
        <w:t>welke criteria hij zal rekening houden 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met welke niet;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</w:p>
    <w:p w:rsidR="00AA27DC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in casu de rechtbank dient vast te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stelle</w:t>
      </w:r>
      <w:r w:rsidR="006558CF" w:rsidRPr="006558CF">
        <w:rPr>
          <w:rFonts w:eastAsia="Palatino-Roman-Identity-H"/>
        </w:rPr>
        <w:t xml:space="preserve">n dat de eisende partij gekozen </w:t>
      </w:r>
      <w:r w:rsidRPr="006558CF">
        <w:rPr>
          <w:rFonts w:eastAsia="Palatino-Roman-Identity-H"/>
        </w:rPr>
        <w:t>heeft voor een vergoeding in uurloon 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een zeer gedetailleerde prestatie</w:t>
      </w:r>
      <w:r w:rsidR="006558CF" w:rsidRPr="006558CF">
        <w:rPr>
          <w:rFonts w:eastAsia="Palatino-Roman-Identity-H"/>
        </w:rPr>
        <w:t>f</w:t>
      </w:r>
      <w:r w:rsidRPr="006558CF">
        <w:rPr>
          <w:rFonts w:eastAsia="Palatino-Roman-Identity-H"/>
        </w:rPr>
        <w:t>iche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voorlegt (ook wel timesheet genoemd)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waarvan de realiteit objectief geveri</w:t>
      </w:r>
      <w:r w:rsidR="006558CF" w:rsidRPr="006558CF">
        <w:rPr>
          <w:rFonts w:eastAsia="Palatino-Roman-Identity-H"/>
        </w:rPr>
        <w:t>f</w:t>
      </w:r>
      <w:r w:rsidRPr="006558CF">
        <w:rPr>
          <w:rFonts w:eastAsia="Palatino-Roman-Identity-H"/>
        </w:rPr>
        <w:t>ieerd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wordt door de productie van de</w:t>
      </w:r>
      <w:r w:rsidR="006558CF" w:rsidRPr="006558CF">
        <w:rPr>
          <w:rFonts w:eastAsia="Palatino-Roman-Identity-H"/>
        </w:rPr>
        <w:t xml:space="preserve"> f</w:t>
      </w:r>
      <w:r w:rsidRPr="006558CF">
        <w:rPr>
          <w:rFonts w:eastAsia="Palatino-Roman-Identity-H"/>
        </w:rPr>
        <w:t>iche waaruit het geïnformatiseerde systeem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 xml:space="preserve">dat ter zake </w:t>
      </w:r>
      <w:r w:rsidR="006558CF" w:rsidRPr="006558CF">
        <w:rPr>
          <w:rFonts w:eastAsia="Palatino-Roman-Identity-H"/>
        </w:rPr>
        <w:t>g</w:t>
      </w:r>
      <w:r w:rsidRPr="006558CF">
        <w:rPr>
          <w:rFonts w:eastAsia="Palatino-Roman-Identity-H"/>
        </w:rPr>
        <w:t>ebruikt wordt, 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naar algemene bekendheid niet voor falsi</w:t>
      </w:r>
      <w:r w:rsidR="006558CF" w:rsidRPr="006558CF">
        <w:rPr>
          <w:rFonts w:eastAsia="Palatino-Roman-Identity-H"/>
        </w:rPr>
        <w:t>f</w:t>
      </w:r>
      <w:r w:rsidRPr="006558CF">
        <w:rPr>
          <w:rFonts w:eastAsia="Palatino-Roman-Identity-H"/>
        </w:rPr>
        <w:t>icatie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vatbaar is;</w:t>
      </w:r>
      <w:r w:rsidR="006558CF" w:rsidRPr="006558CF">
        <w:rPr>
          <w:rFonts w:eastAsia="Palatino-Roman-Identity-H"/>
        </w:rPr>
        <w:t xml:space="preserve"> </w:t>
      </w:r>
    </w:p>
    <w:p w:rsidR="00C71EBE" w:rsidRPr="006558CF" w:rsidRDefault="00C71EBE" w:rsidP="00B03C78">
      <w:pPr>
        <w:jc w:val="both"/>
        <w:rPr>
          <w:rFonts w:eastAsia="Palatino-Roman-Identity-H"/>
        </w:rPr>
      </w:pPr>
    </w:p>
    <w:p w:rsidR="006558CF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in deze omstandigheden omtrent de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aanger</w:t>
      </w:r>
      <w:r w:rsidR="00C71EBE">
        <w:rPr>
          <w:rFonts w:eastAsia="Palatino-Roman-Identity-H"/>
        </w:rPr>
        <w:t xml:space="preserve">ekende uren geen betwisting kan </w:t>
      </w:r>
      <w:r w:rsidRPr="006558CF">
        <w:rPr>
          <w:rFonts w:eastAsia="Palatino-Roman-Identity-H"/>
        </w:rPr>
        <w:t>bestaan en de rechtbank ter zake overigens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dient te releveren dat inhoudelijk</w:t>
      </w:r>
      <w:r w:rsidR="00C71EBE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m.b.t. de diverse prestaties zoals de telefonische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contacten met cliënten, andere</w:t>
      </w:r>
      <w:r w:rsidR="00C71EBE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advocaten, deurwaarders, deskundigen,</w:t>
      </w:r>
      <w:r w:rsidR="00C71EBE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garages en dergelijke meer door verwerende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partij geen enkele betwisting gevoerd</w:t>
      </w:r>
      <w:r w:rsidR="00C71EBE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wordt;</w:t>
      </w:r>
      <w:r w:rsidR="006558CF" w:rsidRPr="006558CF">
        <w:rPr>
          <w:rFonts w:eastAsia="Palatino-Roman-Identity-H"/>
        </w:rPr>
        <w:t xml:space="preserve"> </w:t>
      </w:r>
    </w:p>
    <w:p w:rsidR="00C71EBE" w:rsidRPr="006558CF" w:rsidRDefault="00C71EBE" w:rsidP="00B03C78">
      <w:pPr>
        <w:jc w:val="both"/>
        <w:rPr>
          <w:rFonts w:eastAsia="Palatino-Roman-Identity-H"/>
        </w:rPr>
      </w:pPr>
    </w:p>
    <w:p w:rsidR="00AA27DC" w:rsidRPr="006558CF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immers, zoals geëxpliciteerd in de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besluiten van verwerende partij hoofdzakelijk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betwisting gevoerd wordt m.b.t. de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redactie van de conclusie waarvoor een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tijdsduur van 4 1/2 uur werd uitgetrokken,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en het feit dat die conclusie geredigeerd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werd door een stagiair wat tot een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vermindering van het ereloon dient aanleiding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te geven;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</w:p>
    <w:p w:rsidR="00AA27DC" w:rsidRPr="006558CF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Overwegende dat het toetsingsrecht dat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voor de raad, de scheidsrechtelijke commissies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en de rechtbanken openstaat ter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 xml:space="preserve">zake kosten en ereloonstaten, </w:t>
      </w:r>
      <w:proofErr w:type="spellStart"/>
      <w:r w:rsidRPr="006558CF">
        <w:rPr>
          <w:rFonts w:eastAsia="Palatino-Roman-Identity-H"/>
        </w:rPr>
        <w:t>gevolgens</w:t>
      </w:r>
      <w:proofErr w:type="spellEnd"/>
      <w:r w:rsidR="00C71EBE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de redactie van artikel 446ter Ger.W.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marginaal is, en dit uiteraard voortvloeit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uit het gegeven dat de wet een partijbeslissingsrecht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heeft toegekend aan de</w:t>
      </w:r>
      <w:r w:rsid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advocatuur ter zake;</w:t>
      </w:r>
      <w:r w:rsidR="006558CF" w:rsidRPr="006558CF">
        <w:rPr>
          <w:rFonts w:eastAsia="Palatino-Roman-Identity-H"/>
        </w:rPr>
        <w:t xml:space="preserve"> 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</w:p>
    <w:p w:rsidR="006558CF" w:rsidRPr="006558CF" w:rsidRDefault="00AA27DC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dit evenwel tot gevolg hee</w:t>
      </w:r>
      <w:r w:rsidR="006558CF" w:rsidRPr="006558CF">
        <w:rPr>
          <w:rFonts w:eastAsia="Palatino-Roman-Identity-H"/>
        </w:rPr>
        <w:t xml:space="preserve">ft dat de </w:t>
      </w:r>
      <w:r w:rsidRPr="006558CF">
        <w:rPr>
          <w:rFonts w:eastAsia="Palatino-Roman-Identity-H"/>
        </w:rPr>
        <w:t>raad, scheidsgerechten en rechtbanken</w:t>
      </w:r>
      <w:r w:rsid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enkel kennelijk overdreven staten kunnen</w:t>
      </w:r>
      <w:r w:rsidR="006558CF"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herleiden, en ter zake bijgevolg het</w:t>
      </w:r>
      <w:r w:rsidR="006558CF">
        <w:rPr>
          <w:rFonts w:eastAsia="Palatino-Roman-Identity-H"/>
        </w:rPr>
        <w:t xml:space="preserve"> </w:t>
      </w:r>
      <w:r w:rsidR="006558CF" w:rsidRPr="006558CF">
        <w:rPr>
          <w:rFonts w:eastAsia="Palatino-Roman-Identity-H"/>
        </w:rPr>
        <w:t xml:space="preserve">principe de </w:t>
      </w:r>
      <w:proofErr w:type="spellStart"/>
      <w:r w:rsidR="006558CF" w:rsidRPr="006558CF">
        <w:rPr>
          <w:rFonts w:eastAsia="Palatino-Roman-Identity-H"/>
        </w:rPr>
        <w:t>minimis</w:t>
      </w:r>
      <w:proofErr w:type="spellEnd"/>
      <w:r w:rsidR="006558CF" w:rsidRPr="006558CF">
        <w:rPr>
          <w:rFonts w:eastAsia="Palatino-Roman-Identity-H"/>
        </w:rPr>
        <w:t xml:space="preserve"> non </w:t>
      </w:r>
      <w:proofErr w:type="spellStart"/>
      <w:r w:rsidR="006558CF" w:rsidRPr="006558CF">
        <w:rPr>
          <w:rFonts w:eastAsia="Palatino-Roman-Identity-H"/>
        </w:rPr>
        <w:t>curat</w:t>
      </w:r>
      <w:proofErr w:type="spellEnd"/>
      <w:r w:rsidR="006558CF" w:rsidRPr="006558CF">
        <w:rPr>
          <w:rFonts w:eastAsia="Palatino-Roman-Identity-H"/>
        </w:rPr>
        <w:t xml:space="preserve"> </w:t>
      </w:r>
      <w:proofErr w:type="spellStart"/>
      <w:r w:rsidR="006558CF" w:rsidRPr="006558CF">
        <w:rPr>
          <w:rFonts w:eastAsia="Palatino-Roman-Identity-H"/>
        </w:rPr>
        <w:t>praetor</w:t>
      </w:r>
      <w:proofErr w:type="spellEnd"/>
      <w:r w:rsidR="006558CF" w:rsidRPr="006558CF">
        <w:rPr>
          <w:rFonts w:eastAsia="Palatino-Roman-Identity-H"/>
        </w:rPr>
        <w:t xml:space="preserve"> </w:t>
      </w:r>
      <w:r w:rsidR="006558CF" w:rsidRPr="006558CF">
        <w:rPr>
          <w:rFonts w:eastAsia="Palatino-Roman-Identity-H"/>
        </w:rPr>
        <w:t>onverkort overeind blijft;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</w:p>
    <w:p w:rsidR="006558CF" w:rsidRPr="006558CF" w:rsidRDefault="006558CF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de rec</w:t>
      </w:r>
      <w:r w:rsidRPr="006558CF">
        <w:rPr>
          <w:rFonts w:eastAsia="Palatino-Roman-Identity-H"/>
        </w:rPr>
        <w:t xml:space="preserve">htbank ter zake vooreerst dient </w:t>
      </w:r>
      <w:r w:rsidRPr="006558CF">
        <w:rPr>
          <w:rFonts w:eastAsia="Palatino-Roman-Identity-H"/>
        </w:rPr>
        <w:t>vast te stellen dat wanneer er betwisting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gevoerd wordt m.b.t. de aangerekende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uren, anderzijds uit de gegevens van het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bundel het toch wel voldoende duidelijk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is dat dit vooreerst een arbeidsintensief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dossier betrof, en vervolgens dat blijkens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nalezing van de geredigeerde conclusie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deze vooreerst van kwaliteit getuigt, en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 xml:space="preserve">vervolgens een tijdsbesteding van 4 </w:t>
      </w:r>
      <w:r w:rsidRPr="006558CF">
        <w:rPr>
          <w:rFonts w:eastAsia="Palatino-Roman-Identity-H"/>
        </w:rPr>
        <w:t xml:space="preserve">½ </w:t>
      </w:r>
      <w:r w:rsidRPr="006558CF">
        <w:rPr>
          <w:rFonts w:eastAsia="Palatino-Roman-Identity-H"/>
        </w:rPr>
        <w:t>uur niet als kennelijk overdreven voorkomt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daargelaten het feit dat deze beperkte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betwisting t.o.v. de totale prestaties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 xml:space="preserve">in dit dossier </w:t>
      </w:r>
      <w:r w:rsidRPr="006558CF">
        <w:rPr>
          <w:rFonts w:eastAsia="Palatino-Roman-Identity-H"/>
        </w:rPr>
        <w:t xml:space="preserve"> m</w:t>
      </w:r>
      <w:r w:rsidRPr="006558CF">
        <w:rPr>
          <w:rFonts w:eastAsia="Palatino-Roman-Identity-H"/>
        </w:rPr>
        <w:t>arginaal mag genoemd</w:t>
      </w:r>
      <w:r w:rsidRPr="006558CF"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worden;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in deze omstandigheden de betwistingen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van verwerende partij ongegrond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zijn, des temeer de realiteit van intellectuele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prestaties zoals bij de redactie van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conclusies, enkel bij indicatie kan worden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geapprecieerd door de voorliggende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stukken, waaronder de geproduceerde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conclusie, en te</w:t>
      </w:r>
      <w:r>
        <w:rPr>
          <w:rFonts w:eastAsia="Palatino-Roman-Identity-H"/>
        </w:rPr>
        <w:t xml:space="preserve">r zake overigens de aanrekening </w:t>
      </w:r>
      <w:r w:rsidRPr="006558CF">
        <w:rPr>
          <w:rFonts w:eastAsia="Palatino-Roman-Identity-H"/>
        </w:rPr>
        <w:t xml:space="preserve">van </w:t>
      </w:r>
      <w:r w:rsidRPr="006558CF">
        <w:rPr>
          <w:rFonts w:eastAsia="Palatino-Roman-Identity-H"/>
        </w:rPr>
        <w:lastRenderedPageBreak/>
        <w:t>een halfuur per geproduceerde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bladzijde gebruikelijk is en zelfs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overeenstemt met een normale intelligente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behandelwijze;</w:t>
      </w:r>
    </w:p>
    <w:p w:rsidR="006558CF" w:rsidRDefault="006558CF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in d</w:t>
      </w:r>
      <w:r>
        <w:rPr>
          <w:rFonts w:eastAsia="Palatino-Roman-Identity-H"/>
        </w:rPr>
        <w:t xml:space="preserve">eze omstandigheden het ter zake </w:t>
      </w:r>
      <w:r w:rsidRPr="006558CF">
        <w:rPr>
          <w:rFonts w:eastAsia="Palatino-Roman-Identity-H"/>
        </w:rPr>
        <w:t>gevoerde verweer geen steek houdt;</w:t>
      </w:r>
      <w:r>
        <w:rPr>
          <w:rFonts w:eastAsia="Palatino-Roman-Identity-H"/>
        </w:rPr>
        <w:t xml:space="preserve"> </w:t>
      </w:r>
    </w:p>
    <w:p w:rsidR="006558CF" w:rsidRPr="006558CF" w:rsidRDefault="006558CF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daarenboven de betwistingen m.b.t.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het aangerekend basisbedrag ongegrond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zijn;</w:t>
      </w:r>
      <w:r>
        <w:rPr>
          <w:rFonts w:eastAsia="Palatino-Roman-Identity-H"/>
        </w:rPr>
        <w:t xml:space="preserve"> </w:t>
      </w:r>
    </w:p>
    <w:p w:rsidR="006558CF" w:rsidRDefault="006558CF" w:rsidP="00B03C78">
      <w:pPr>
        <w:jc w:val="both"/>
        <w:rPr>
          <w:rFonts w:eastAsia="Palatino-Roman-Identity-H"/>
        </w:rPr>
      </w:pPr>
      <w:r w:rsidRPr="006558CF">
        <w:rPr>
          <w:rFonts w:eastAsia="Palatino-Roman-Identity-H"/>
        </w:rPr>
        <w:t>Dat immers reeds voorafgaandelijk de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aanbeveling van de Nationale Raad van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Orde van Advocaten van 24 juni 1991,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studies door deze orde werden uitgevoerd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m.b.t. het basisereloon per uur, en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alsdan het bedrag werd voorgesteld van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3.000 BEF/uur, dat gelet op de intrekking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 xml:space="preserve">van deze nationale aanbeveling </w:t>
      </w:r>
      <w:proofErr w:type="spellStart"/>
      <w:r w:rsidRPr="006558CF">
        <w:rPr>
          <w:rFonts w:eastAsia="Palatino-Roman-Identity-H"/>
        </w:rPr>
        <w:t>gevolgens</w:t>
      </w:r>
      <w:proofErr w:type="spellEnd"/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de bepalingen ter zake de mededinging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no</w:t>
      </w:r>
      <w:r>
        <w:rPr>
          <w:rFonts w:eastAsia="Palatino-Roman-Identity-H"/>
        </w:rPr>
        <w:t xml:space="preserve">g slechts enkel een indicatieve </w:t>
      </w:r>
      <w:r w:rsidRPr="006558CF">
        <w:rPr>
          <w:rFonts w:eastAsia="Palatino-Roman-Identity-H"/>
        </w:rPr>
        <w:t>waarde heeft, maar wel duidelijk maakt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dat dit bedrag reeds 20 jaar terug gebruikelijk</w:t>
      </w:r>
      <w:r>
        <w:rPr>
          <w:rFonts w:eastAsia="Palatino-Roman-Identity-H"/>
        </w:rPr>
        <w:t xml:space="preserve"> </w:t>
      </w:r>
      <w:r w:rsidRPr="006558CF">
        <w:rPr>
          <w:rFonts w:eastAsia="Palatino-Roman-Identity-H"/>
        </w:rPr>
        <w:t>was;</w:t>
      </w:r>
      <w:r w:rsidR="006253F2">
        <w:rPr>
          <w:rFonts w:eastAsia="Palatino-Roman-Identity-H"/>
        </w:rPr>
        <w:t xml:space="preserve"> </w:t>
      </w:r>
    </w:p>
    <w:p w:rsidR="006253F2" w:rsidRPr="006253F2" w:rsidRDefault="006253F2" w:rsidP="00B03C78">
      <w:pPr>
        <w:jc w:val="both"/>
        <w:rPr>
          <w:rFonts w:eastAsia="Palatino-Roman-Identity-H"/>
        </w:rPr>
      </w:pPr>
    </w:p>
    <w:p w:rsidR="006558CF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/>
        </w:rPr>
        <w:t>Dat da</w:t>
      </w:r>
      <w:r w:rsidRPr="006253F2">
        <w:rPr>
          <w:rFonts w:eastAsia="Palatino-Roman-Identity-H"/>
        </w:rPr>
        <w:t xml:space="preserve">arenboven gelet op de eer en de </w:t>
      </w:r>
      <w:r w:rsidRPr="006253F2">
        <w:rPr>
          <w:rFonts w:eastAsia="Palatino-Roman-Identity-H"/>
        </w:rPr>
        <w:t>waardigh</w:t>
      </w:r>
      <w:r w:rsidRPr="006253F2">
        <w:rPr>
          <w:rFonts w:eastAsia="Palatino-Roman-Identity-H"/>
        </w:rPr>
        <w:t>eid van het beroep, de intellec</w:t>
      </w:r>
      <w:r w:rsidRPr="006253F2">
        <w:rPr>
          <w:rFonts w:eastAsia="Palatino-Roman-Identity-H" w:cs="Palatino-Roman-Identity-H"/>
        </w:rPr>
        <w:t>tuele vereisten die het stelt, evenals de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vereisten van integriteit, onafhankelijkheid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en andere menselijke kwaliteiten,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een bedrag van 3.000 BEF/uur ook anno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1998 in een studie van de ULB te Liège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matig bleek (</w:t>
      </w:r>
      <w:proofErr w:type="spellStart"/>
      <w:r w:rsidRPr="006253F2">
        <w:rPr>
          <w:rFonts w:eastAsia="Palatino-Roman-SC660-Identity-H" w:cs="Palatino-Roman-SC660-Identity-H"/>
        </w:rPr>
        <w:t>gauteaux</w:t>
      </w:r>
      <w:proofErr w:type="spellEnd"/>
      <w:r w:rsidRPr="006253F2">
        <w:rPr>
          <w:rFonts w:eastAsia="Palatino-Roman-Identity-H" w:cs="Palatino-Roman-Identity-H"/>
        </w:rPr>
        <w:t xml:space="preserve">, </w:t>
      </w:r>
      <w:proofErr w:type="spellStart"/>
      <w:r w:rsidRPr="006253F2">
        <w:rPr>
          <w:rFonts w:eastAsia="Palatino-Roman-SC660-Identity-H" w:cs="Palatino-Roman-SC660-Identity-H"/>
        </w:rPr>
        <w:t>MersCH</w:t>
      </w:r>
      <w:proofErr w:type="spellEnd"/>
      <w:r w:rsidRPr="006253F2">
        <w:rPr>
          <w:rFonts w:eastAsia="Palatino-Roman-Identity-H" w:cs="Palatino-Roman-Identity-H"/>
        </w:rPr>
        <w:t xml:space="preserve">, </w:t>
      </w:r>
      <w:proofErr w:type="spellStart"/>
      <w:r w:rsidRPr="006253F2">
        <w:rPr>
          <w:rFonts w:eastAsia="Palatino-Roman-SC660-Identity-H" w:cs="Palatino-Roman-SC660-Identity-H"/>
        </w:rPr>
        <w:t>CaVenaille</w:t>
      </w:r>
      <w:proofErr w:type="spellEnd"/>
      <w:r w:rsidRPr="006253F2">
        <w:rPr>
          <w:rFonts w:eastAsia="Palatino-Roman-Identity-H" w:cs="Palatino-Roman-Identity-H"/>
        </w:rPr>
        <w:t>,</w:t>
      </w:r>
      <w:r w:rsidRPr="006253F2">
        <w:rPr>
          <w:rFonts w:eastAsia="Palatino-Roman-Identity-H" w:cs="Palatino-Roman-Identity-H"/>
        </w:rPr>
        <w:t xml:space="preserve"> </w:t>
      </w:r>
      <w:proofErr w:type="spellStart"/>
      <w:r w:rsidRPr="006253F2">
        <w:rPr>
          <w:rFonts w:eastAsia="Palatino-Italic-Identity-H" w:cs="Palatino-Italic-Identity-H"/>
          <w:i/>
          <w:iCs/>
        </w:rPr>
        <w:t>Incidents</w:t>
      </w:r>
      <w:proofErr w:type="spellEnd"/>
      <w:r w:rsidRPr="006253F2">
        <w:rPr>
          <w:rFonts w:eastAsia="Palatino-Italic-Identity-H" w:cs="Palatino-Italic-Identity-H"/>
          <w:i/>
          <w:iCs/>
        </w:rPr>
        <w:t xml:space="preserve"> des </w:t>
      </w:r>
      <w:proofErr w:type="spellStart"/>
      <w:r w:rsidRPr="006253F2">
        <w:rPr>
          <w:rFonts w:eastAsia="Palatino-Italic-Identity-H" w:cs="Palatino-Italic-Identity-H"/>
          <w:i/>
          <w:iCs/>
        </w:rPr>
        <w:t>frais</w:t>
      </w:r>
      <w:proofErr w:type="spellEnd"/>
      <w:r w:rsidRPr="006253F2">
        <w:rPr>
          <w:rFonts w:eastAsia="Palatino-Italic-Identity-H" w:cs="Palatino-Italic-Identity-H"/>
          <w:i/>
          <w:iCs/>
        </w:rPr>
        <w:t xml:space="preserve"> de </w:t>
      </w:r>
      <w:proofErr w:type="spellStart"/>
      <w:r w:rsidRPr="006253F2">
        <w:rPr>
          <w:rFonts w:eastAsia="Palatino-Italic-Identity-H" w:cs="Palatino-Italic-Identity-H"/>
          <w:i/>
          <w:iCs/>
        </w:rPr>
        <w:t>l’avocat</w:t>
      </w:r>
      <w:proofErr w:type="spellEnd"/>
      <w:r w:rsidRPr="006253F2">
        <w:rPr>
          <w:rFonts w:eastAsia="Palatino-Italic-Identity-H" w:cs="Palatino-Italic-Identity-H"/>
          <w:i/>
          <w:iCs/>
        </w:rPr>
        <w:t xml:space="preserve"> </w:t>
      </w:r>
      <w:proofErr w:type="spellStart"/>
      <w:r w:rsidRPr="006253F2">
        <w:rPr>
          <w:rFonts w:eastAsia="Palatino-Italic-Identity-H" w:cs="Palatino-Italic-Identity-H"/>
          <w:i/>
          <w:iCs/>
        </w:rPr>
        <w:t>sur</w:t>
      </w:r>
      <w:proofErr w:type="spellEnd"/>
      <w:r w:rsidRPr="006253F2">
        <w:rPr>
          <w:rFonts w:eastAsia="Palatino-Italic-Identity-H" w:cs="Palatino-Italic-Identity-H"/>
          <w:i/>
          <w:iCs/>
        </w:rPr>
        <w:t xml:space="preserve"> </w:t>
      </w:r>
      <w:proofErr w:type="spellStart"/>
      <w:r w:rsidRPr="006253F2">
        <w:rPr>
          <w:rFonts w:eastAsia="Palatino-Italic-Identity-H" w:cs="Palatino-Italic-Identity-H"/>
          <w:i/>
          <w:iCs/>
        </w:rPr>
        <w:t>le</w:t>
      </w:r>
      <w:proofErr w:type="spellEnd"/>
      <w:r w:rsidR="006253F2">
        <w:rPr>
          <w:rFonts w:eastAsia="Palatino-Italic-Identity-H" w:cs="Palatino-Italic-Identity-H"/>
          <w:i/>
          <w:iCs/>
        </w:rPr>
        <w:t xml:space="preserve"> </w:t>
      </w:r>
      <w:proofErr w:type="spellStart"/>
      <w:r w:rsidRPr="006253F2">
        <w:rPr>
          <w:rFonts w:eastAsia="Palatino-Italic-Identity-H" w:cs="Palatino-Italic-Identity-H"/>
          <w:i/>
          <w:iCs/>
        </w:rPr>
        <w:t>coût</w:t>
      </w:r>
      <w:proofErr w:type="spellEnd"/>
      <w:r w:rsidRPr="006253F2">
        <w:rPr>
          <w:rFonts w:eastAsia="Palatino-Italic-Identity-H" w:cs="Palatino-Italic-Identity-H"/>
          <w:i/>
          <w:iCs/>
        </w:rPr>
        <w:t xml:space="preserve"> de la </w:t>
      </w:r>
      <w:proofErr w:type="spellStart"/>
      <w:r w:rsidRPr="006253F2">
        <w:rPr>
          <w:rFonts w:eastAsia="Palatino-Italic-Identity-H" w:cs="Palatino-Italic-Identity-H"/>
          <w:i/>
          <w:iCs/>
        </w:rPr>
        <w:t>Justice</w:t>
      </w:r>
      <w:proofErr w:type="spellEnd"/>
      <w:r w:rsidRPr="006253F2">
        <w:rPr>
          <w:rFonts w:eastAsia="Palatino-Roman-Identity-H" w:cs="Palatino-Roman-Identity-H"/>
        </w:rPr>
        <w:t xml:space="preserve">, </w:t>
      </w:r>
      <w:proofErr w:type="spellStart"/>
      <w:r w:rsidRPr="006253F2">
        <w:rPr>
          <w:rFonts w:eastAsia="Palatino-Roman-Identity-H" w:cs="Palatino-Roman-Identity-H"/>
        </w:rPr>
        <w:t>Actes</w:t>
      </w:r>
      <w:proofErr w:type="spellEnd"/>
      <w:r w:rsidRPr="006253F2">
        <w:rPr>
          <w:rFonts w:eastAsia="Palatino-Roman-Identity-H" w:cs="Palatino-Roman-Identity-H"/>
        </w:rPr>
        <w:t xml:space="preserve"> du </w:t>
      </w:r>
      <w:proofErr w:type="spellStart"/>
      <w:r w:rsidRPr="006253F2">
        <w:rPr>
          <w:rFonts w:eastAsia="Palatino-Roman-Identity-H" w:cs="Palatino-Roman-Identity-H"/>
        </w:rPr>
        <w:t>colloque</w:t>
      </w:r>
      <w:proofErr w:type="spellEnd"/>
      <w:r w:rsidRPr="006253F2">
        <w:rPr>
          <w:rFonts w:eastAsia="Palatino-Roman-Identity-H" w:cs="Palatino-Roman-Identity-H"/>
        </w:rPr>
        <w:t xml:space="preserve"> des</w:t>
      </w:r>
      <w:r w:rsidRPr="006253F2">
        <w:rPr>
          <w:rFonts w:eastAsia="Palatino-Roman-Identity-H" w:cs="Palatino-Roman-Identity-H"/>
        </w:rPr>
        <w:t xml:space="preserve"> </w:t>
      </w:r>
      <w:proofErr w:type="spellStart"/>
      <w:r w:rsidRPr="006253F2">
        <w:rPr>
          <w:rFonts w:eastAsia="Palatino-Roman-Identity-H" w:cs="Palatino-Roman-Identity-H"/>
        </w:rPr>
        <w:t>Jeunes</w:t>
      </w:r>
      <w:proofErr w:type="spellEnd"/>
      <w:r w:rsidRPr="006253F2">
        <w:rPr>
          <w:rFonts w:eastAsia="Palatino-Roman-Identity-H" w:cs="Palatino-Roman-Identity-H"/>
        </w:rPr>
        <w:t xml:space="preserve"> </w:t>
      </w:r>
      <w:proofErr w:type="spellStart"/>
      <w:r w:rsidRPr="006253F2">
        <w:rPr>
          <w:rFonts w:eastAsia="Palatino-Roman-Identity-H" w:cs="Palatino-Roman-Identity-H"/>
        </w:rPr>
        <w:t>Barreaux</w:t>
      </w:r>
      <w:proofErr w:type="spellEnd"/>
      <w:r w:rsidRPr="006253F2">
        <w:rPr>
          <w:rFonts w:eastAsia="Palatino-Roman-Identity-H" w:cs="Palatino-Roman-Identity-H"/>
        </w:rPr>
        <w:t xml:space="preserve"> de Liège et de </w:t>
      </w:r>
      <w:proofErr w:type="spellStart"/>
      <w:r w:rsidRPr="006253F2">
        <w:rPr>
          <w:rFonts w:eastAsia="Palatino-Roman-Identity-H" w:cs="Palatino-Roman-Identity-H"/>
        </w:rPr>
        <w:t>l’ULB</w:t>
      </w:r>
      <w:proofErr w:type="spellEnd"/>
      <w:r w:rsidRPr="006253F2">
        <w:rPr>
          <w:rFonts w:eastAsia="Palatino-Roman-Identity-H" w:cs="Palatino-Roman-Identity-H"/>
        </w:rPr>
        <w:t>,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p. 28);</w:t>
      </w:r>
      <w:r w:rsidRPr="006253F2">
        <w:rPr>
          <w:rFonts w:eastAsia="Palatino-Roman-Identity-H" w:cs="Palatino-Roman-Identity-H"/>
        </w:rPr>
        <w:t xml:space="preserve"> </w:t>
      </w:r>
      <w:r w:rsidR="006253F2">
        <w:rPr>
          <w:rFonts w:eastAsia="Palatino-Roman-Identity-H" w:cs="Palatino-Roman-Identity-H"/>
        </w:rPr>
        <w:t xml:space="preserve"> </w:t>
      </w:r>
    </w:p>
    <w:p w:rsidR="006253F2" w:rsidRPr="006253F2" w:rsidRDefault="006253F2" w:rsidP="00B03C78">
      <w:pPr>
        <w:jc w:val="both"/>
        <w:rPr>
          <w:rFonts w:eastAsia="Palatino-Roman-Identity-H" w:cs="Palatino-Roman-Identity-H"/>
        </w:rPr>
      </w:pPr>
    </w:p>
    <w:p w:rsidR="006558CF" w:rsidRPr="006253F2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daarenboven de rechtbank dient te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releve</w:t>
      </w:r>
      <w:r w:rsidR="006253F2">
        <w:rPr>
          <w:rFonts w:eastAsia="Palatino-Roman-Identity-H" w:cs="Palatino-Roman-Identity-H"/>
        </w:rPr>
        <w:t xml:space="preserve">ren dat inhoudelijk de systemen </w:t>
      </w:r>
      <w:r w:rsidRPr="006253F2">
        <w:rPr>
          <w:rFonts w:eastAsia="Palatino-Roman-Identity-H" w:cs="Palatino-Roman-Identity-H"/>
        </w:rPr>
        <w:t>weerhoudt en in de nationale aanbeveling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van 24 juni 1998 door de wetgever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werden overgenomen in o.m. het begrotingsstelsel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van de pro-Deo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punten en de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ministeriële besluiten ter zake schuldbemiddeling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en faillissementen;</w:t>
      </w:r>
    </w:p>
    <w:p w:rsidR="006253F2" w:rsidRDefault="006253F2" w:rsidP="00B03C78">
      <w:pPr>
        <w:jc w:val="both"/>
        <w:rPr>
          <w:rFonts w:eastAsia="Palatino-Roman-Identity-H" w:cs="Palatino-Roman-Identity-H"/>
        </w:rPr>
      </w:pPr>
    </w:p>
    <w:p w:rsidR="006558CF" w:rsidRPr="006253F2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bijgevolg uit het bovenstaande dient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te worde</w:t>
      </w:r>
      <w:r w:rsidR="006253F2">
        <w:rPr>
          <w:rFonts w:eastAsia="Palatino-Roman-Identity-H" w:cs="Palatino-Roman-Identity-H"/>
        </w:rPr>
        <w:t xml:space="preserve">n gereleveerd dat anno 2000 een </w:t>
      </w:r>
      <w:r w:rsidRPr="006253F2">
        <w:rPr>
          <w:rFonts w:eastAsia="Palatino-Roman-Identity-H" w:cs="Palatino-Roman-Identity-H"/>
        </w:rPr>
        <w:t>bedrag van 3.000 BEF/uur minstens verantwoord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was door het gewoonterecht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ter zake;</w:t>
      </w:r>
      <w:r w:rsidRPr="006253F2">
        <w:rPr>
          <w:rFonts w:eastAsia="Palatino-Roman-Identity-H" w:cs="Palatino-Roman-Identity-H"/>
        </w:rPr>
        <w:t xml:space="preserve"> </w:t>
      </w:r>
    </w:p>
    <w:p w:rsidR="006253F2" w:rsidRDefault="006253F2" w:rsidP="00B03C78">
      <w:pPr>
        <w:jc w:val="both"/>
        <w:rPr>
          <w:rFonts w:eastAsia="Palatino-Roman-Identity-H" w:cs="Palatino-Roman-Identity-H"/>
        </w:rPr>
      </w:pPr>
    </w:p>
    <w:p w:rsidR="006558CF" w:rsidRPr="006253F2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daar</w:t>
      </w:r>
      <w:r w:rsidRPr="006253F2">
        <w:rPr>
          <w:rFonts w:eastAsia="Palatino-Roman-Identity-H" w:cs="Palatino-Roman-Identity-H"/>
        </w:rPr>
        <w:t xml:space="preserve">enboven sedert het jaar 2001 de </w:t>
      </w:r>
      <w:r w:rsidRPr="006253F2">
        <w:rPr>
          <w:rFonts w:eastAsia="Palatino-Roman-Identity-H" w:cs="Palatino-Roman-Identity-H"/>
        </w:rPr>
        <w:t xml:space="preserve">beslissingen legio zijn dat het </w:t>
      </w:r>
      <w:proofErr w:type="spellStart"/>
      <w:r w:rsidRPr="006253F2">
        <w:rPr>
          <w:rFonts w:eastAsia="Palatino-Roman-Identity-H" w:cs="Palatino-Roman-Identity-H"/>
        </w:rPr>
        <w:t>basisereloonbedrag</w:t>
      </w:r>
      <w:proofErr w:type="spellEnd"/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da</w:t>
      </w:r>
      <w:r w:rsidR="006253F2">
        <w:rPr>
          <w:rFonts w:eastAsia="Palatino-Roman-Identity-H" w:cs="Palatino-Roman-Identity-H"/>
        </w:rPr>
        <w:t xml:space="preserve">t door een advocaat in rekening </w:t>
      </w:r>
      <w:r w:rsidRPr="006253F2">
        <w:rPr>
          <w:rFonts w:eastAsia="Palatino-Roman-Identity-H" w:cs="Palatino-Roman-Identity-H"/>
        </w:rPr>
        <w:t>kan worden gebracht 100 euro/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uur bedraagt, en dit overigens ook blijkt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te worden erkend door hetgene dat door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verwerende partij gematerialiseerd werd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in haar diverse brieven in dit dossier;</w:t>
      </w:r>
      <w:r w:rsidRPr="006253F2">
        <w:rPr>
          <w:rFonts w:eastAsia="Palatino-Roman-Identity-H" w:cs="Palatino-Roman-Identity-H"/>
        </w:rPr>
        <w:t xml:space="preserve"> </w:t>
      </w:r>
    </w:p>
    <w:p w:rsidR="006558CF" w:rsidRPr="006253F2" w:rsidRDefault="006558CF" w:rsidP="00B03C78">
      <w:pPr>
        <w:jc w:val="both"/>
        <w:rPr>
          <w:rFonts w:eastAsia="Palatino-Roman-Identity-H" w:cs="Palatino-Roman-Identity-H"/>
        </w:rPr>
      </w:pPr>
    </w:p>
    <w:p w:rsidR="006558CF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het weliswa</w:t>
      </w:r>
      <w:r w:rsidRPr="006253F2">
        <w:rPr>
          <w:rFonts w:eastAsia="Palatino-Roman-Identity-H" w:cs="Palatino-Roman-Identity-H"/>
        </w:rPr>
        <w:t xml:space="preserve">ar juist is dat het basisbedrag </w:t>
      </w:r>
      <w:r w:rsidRPr="006253F2">
        <w:rPr>
          <w:rFonts w:eastAsia="Palatino-Roman-Identity-H" w:cs="Palatino-Roman-Identity-H"/>
        </w:rPr>
        <w:t>van 100 euro zou kunnen worden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verminderd in min wanneer de staat van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kosten en erelonen geredigeerd werd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door een stagiair, maar vooreerst de staat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in casu is opgesteld door een advocaat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met bijna 30 jaar ervaring, en vervolgens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zoals reeds hoger gesteld de voor de besluiten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 xml:space="preserve">in rekening gebrachte </w:t>
      </w:r>
      <w:proofErr w:type="spellStart"/>
      <w:r w:rsidRPr="006253F2">
        <w:rPr>
          <w:rFonts w:eastAsia="Palatino-Roman-Identity-H" w:cs="Palatino-Roman-Identity-H"/>
        </w:rPr>
        <w:t>duurtijd</w:t>
      </w:r>
      <w:proofErr w:type="spellEnd"/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geenszins als overdreven kan worden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beschouwd, laat staan als kennelijk overdreven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zodanig dat er geen ruimte is ter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zake voor enige herleiding van de staat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van kosten en erelonen conform artikel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446ter Ger.W.;</w:t>
      </w:r>
      <w:r w:rsidRPr="006253F2">
        <w:rPr>
          <w:rFonts w:eastAsia="Palatino-Roman-Identity-H" w:cs="Palatino-Roman-Identity-H"/>
        </w:rPr>
        <w:t xml:space="preserve"> </w:t>
      </w:r>
    </w:p>
    <w:p w:rsidR="006253F2" w:rsidRPr="006253F2" w:rsidRDefault="006253F2" w:rsidP="00B03C78">
      <w:pPr>
        <w:jc w:val="both"/>
        <w:rPr>
          <w:rFonts w:eastAsia="Palatino-Roman-Identity-H" w:cs="Palatino-Roman-Identity-H"/>
        </w:rPr>
      </w:pPr>
    </w:p>
    <w:p w:rsidR="006558CF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ver</w:t>
      </w:r>
      <w:r w:rsidRPr="006253F2">
        <w:rPr>
          <w:rFonts w:eastAsia="Palatino-Roman-Identity-H" w:cs="Palatino-Roman-Identity-H"/>
        </w:rPr>
        <w:t xml:space="preserve">der de rechtbank wel begrip kan </w:t>
      </w:r>
      <w:r w:rsidRPr="006253F2">
        <w:rPr>
          <w:rFonts w:eastAsia="Palatino-Roman-Identity-H" w:cs="Palatino-Roman-Identity-H"/>
        </w:rPr>
        <w:t>opbrengen vo</w:t>
      </w:r>
      <w:r w:rsidR="006253F2">
        <w:rPr>
          <w:rFonts w:eastAsia="Palatino-Roman-Identity-H" w:cs="Palatino-Roman-Identity-H"/>
        </w:rPr>
        <w:t xml:space="preserve">or de redenering van verwerende </w:t>
      </w:r>
      <w:r w:rsidRPr="006253F2">
        <w:rPr>
          <w:rFonts w:eastAsia="Palatino-Roman-Identity-H" w:cs="Palatino-Roman-Identity-H"/>
        </w:rPr>
        <w:t>partij dat zij bijzonder veel betaalt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v</w:t>
      </w:r>
      <w:r w:rsidRPr="006253F2">
        <w:rPr>
          <w:rFonts w:eastAsia="Palatino-Roman-Identity-H" w:cs="Palatino-Roman-Identity-H"/>
        </w:rPr>
        <w:t>oor kleine baten van haar verze</w:t>
      </w:r>
      <w:r w:rsidRPr="006253F2">
        <w:rPr>
          <w:rFonts w:eastAsia="Palatino-Roman-Identity-H" w:cs="Palatino-Roman-Identity-H"/>
        </w:rPr>
        <w:t>kerde, maar deze hypothese door haar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gedekt is en in haren hoofde een commercieel</w:t>
      </w:r>
      <w:r w:rsid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risico uitmaakt dat zij contractueel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heeft opgenomen;</w:t>
      </w:r>
    </w:p>
    <w:p w:rsidR="006253F2" w:rsidRPr="006253F2" w:rsidRDefault="006253F2" w:rsidP="00B03C78">
      <w:pPr>
        <w:jc w:val="both"/>
        <w:rPr>
          <w:rFonts w:eastAsia="Palatino-Roman-Identity-H" w:cs="Palatino-Roman-Identity-H"/>
        </w:rPr>
      </w:pPr>
    </w:p>
    <w:p w:rsidR="006253F2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lastRenderedPageBreak/>
        <w:t>Dat zij derhalve zich ter zake niet op een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dispro</w:t>
      </w:r>
      <w:r w:rsidR="006253F2">
        <w:rPr>
          <w:rFonts w:eastAsia="Palatino-Roman-Identity-H" w:cs="Palatino-Roman-Identity-H"/>
        </w:rPr>
        <w:t xml:space="preserve">portie tussen het belang van de </w:t>
      </w:r>
      <w:r w:rsidRPr="006253F2">
        <w:rPr>
          <w:rFonts w:eastAsia="Palatino-Roman-Identity-H" w:cs="Palatino-Roman-Identity-H"/>
        </w:rPr>
        <w:t>zaak en de staat van kosten en erelonen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kan beroepen;</w:t>
      </w:r>
      <w:r w:rsidR="006253F2">
        <w:rPr>
          <w:rFonts w:eastAsia="Palatino-Roman-Identity-H" w:cs="Palatino-Roman-Identity-H"/>
        </w:rPr>
        <w:t xml:space="preserve"> </w:t>
      </w:r>
    </w:p>
    <w:p w:rsidR="006253F2" w:rsidRDefault="006253F2" w:rsidP="00B03C78">
      <w:pPr>
        <w:jc w:val="both"/>
        <w:rPr>
          <w:rFonts w:eastAsia="Palatino-Roman-Identity-H" w:cs="Palatino-Roman-Identity-H"/>
        </w:rPr>
      </w:pPr>
    </w:p>
    <w:p w:rsidR="006558CF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overigens, bij de aanwending van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>een uurlo</w:t>
      </w:r>
      <w:r w:rsidR="006253F2">
        <w:rPr>
          <w:rFonts w:eastAsia="Palatino-Roman-Identity-H" w:cs="Palatino-Roman-Identity-H"/>
        </w:rPr>
        <w:t xml:space="preserve">onstelsel het criterium van het </w:t>
      </w:r>
      <w:r w:rsidRPr="006253F2">
        <w:rPr>
          <w:rFonts w:eastAsia="Palatino-Roman-Identity-H" w:cs="Palatino-Roman-Identity-H"/>
        </w:rPr>
        <w:t>belang v</w:t>
      </w:r>
      <w:r w:rsidRPr="006253F2">
        <w:rPr>
          <w:rFonts w:eastAsia="Palatino-Roman-Identity-H" w:cs="Palatino-Roman-Identity-H"/>
        </w:rPr>
        <w:t>an de zaak slechts marginaal is e</w:t>
      </w:r>
      <w:r w:rsidRPr="006253F2">
        <w:rPr>
          <w:rFonts w:eastAsia="Palatino-Roman-Identity-H" w:cs="Palatino-Roman-Identity-H"/>
        </w:rPr>
        <w:t>n werkelijke prestaties worden vergoed;</w:t>
      </w:r>
    </w:p>
    <w:p w:rsidR="006253F2" w:rsidRPr="006253F2" w:rsidRDefault="006253F2" w:rsidP="00B03C78">
      <w:pPr>
        <w:jc w:val="both"/>
        <w:rPr>
          <w:rFonts w:eastAsia="Palatino-Roman-Identity-H" w:cs="Palatino-Roman-Identity-H"/>
        </w:rPr>
      </w:pPr>
    </w:p>
    <w:p w:rsidR="00AA27DC" w:rsidRDefault="006558CF" w:rsidP="00B03C78">
      <w:pPr>
        <w:jc w:val="both"/>
        <w:rPr>
          <w:rFonts w:eastAsia="Palatino-Roman-Identity-H" w:cs="Palatino-Roman-Identity-H"/>
        </w:rPr>
      </w:pPr>
      <w:r w:rsidRPr="006253F2">
        <w:rPr>
          <w:rFonts w:eastAsia="Palatino-Roman-Identity-H" w:cs="Palatino-Roman-Identity-H"/>
        </w:rPr>
        <w:t>Dat derhalve het verweer geen hout</w:t>
      </w:r>
      <w:r w:rsidRPr="006253F2">
        <w:rPr>
          <w:rFonts w:eastAsia="Palatino-Roman-Identity-H" w:cs="Palatino-Roman-Identity-H"/>
        </w:rPr>
        <w:t xml:space="preserve"> </w:t>
      </w:r>
      <w:r w:rsidRPr="006253F2">
        <w:rPr>
          <w:rFonts w:eastAsia="Palatino-Roman-Identity-H" w:cs="Palatino-Roman-Identity-H"/>
        </w:rPr>
        <w:t xml:space="preserve">snijdt </w:t>
      </w:r>
      <w:r w:rsidR="006253F2">
        <w:rPr>
          <w:rFonts w:eastAsia="Palatino-Roman-Identity-H" w:cs="Palatino-Roman-Identity-H"/>
        </w:rPr>
        <w:t xml:space="preserve">en de vordering ontvankelijk en </w:t>
      </w:r>
      <w:r w:rsidRPr="006253F2">
        <w:rPr>
          <w:rFonts w:eastAsia="Palatino-Roman-Identity-H" w:cs="Palatino-Roman-Identity-H"/>
        </w:rPr>
        <w:t>gegrond is zoals gesteld;</w:t>
      </w:r>
    </w:p>
    <w:p w:rsidR="00533B26" w:rsidRDefault="00533B26" w:rsidP="00B03C78">
      <w:pPr>
        <w:jc w:val="both"/>
        <w:rPr>
          <w:rFonts w:eastAsia="Palatino-Roman-Identity-H" w:cs="Palatino-Roman-Identity-H"/>
        </w:rPr>
      </w:pPr>
    </w:p>
    <w:p w:rsidR="00E879BC" w:rsidRDefault="00E879BC" w:rsidP="00B03C78">
      <w:pPr>
        <w:jc w:val="both"/>
        <w:rPr>
          <w:smallCaps/>
          <w:spacing w:val="5"/>
          <w:sz w:val="28"/>
          <w:szCs w:val="28"/>
        </w:rPr>
      </w:pPr>
      <w:r>
        <w:br w:type="page"/>
      </w:r>
    </w:p>
    <w:sectPr w:rsidR="00E879BC" w:rsidSect="000A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-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-SC660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Italic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A2C"/>
    <w:multiLevelType w:val="multilevel"/>
    <w:tmpl w:val="A972E45E"/>
    <w:lvl w:ilvl="0">
      <w:start w:val="1"/>
      <w:numFmt w:val="upperRoman"/>
      <w:lvlText w:val="%1 :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u w:val="double"/>
      </w:rPr>
    </w:lvl>
    <w:lvl w:ilvl="1">
      <w:start w:val="1"/>
      <w:numFmt w:val="upperLetter"/>
      <w:suff w:val="space"/>
      <w:lvlText w:val="%2]"/>
      <w:lvlJc w:val="left"/>
      <w:pPr>
        <w:ind w:left="567" w:hanging="283"/>
      </w:pPr>
      <w:rPr>
        <w:rFonts w:ascii="Times New Roman" w:hAnsi="Times New Roman" w:hint="default"/>
        <w:b/>
        <w:i/>
        <w:u w:val="dotted"/>
      </w:rPr>
    </w:lvl>
    <w:lvl w:ilvl="2">
      <w:start w:val="1"/>
      <w:numFmt w:val="decimal"/>
      <w:lvlText w:val="%3 )"/>
      <w:lvlJc w:val="left"/>
      <w:pPr>
        <w:tabs>
          <w:tab w:val="num" w:pos="1247"/>
        </w:tabs>
        <w:ind w:left="1247" w:hanging="453"/>
      </w:pPr>
      <w:rPr>
        <w:rFonts w:ascii="Times New Roman" w:hAnsi="Times New Roman" w:hint="default"/>
        <w:b/>
        <w:i w:val="0"/>
        <w:u w:val="single"/>
      </w:rPr>
    </w:lvl>
    <w:lvl w:ilvl="3">
      <w:start w:val="1"/>
      <w:numFmt w:val="lowerLetter"/>
      <w:suff w:val="nothing"/>
      <w:lvlText w:val="%4 / "/>
      <w:lvlJc w:val="left"/>
      <w:pPr>
        <w:ind w:left="1361" w:hanging="340"/>
      </w:pPr>
      <w:rPr>
        <w:b/>
        <w:i w:val="0"/>
        <w:u w:val="single"/>
      </w:rPr>
    </w:lvl>
    <w:lvl w:ilvl="4">
      <w:start w:val="1"/>
      <w:numFmt w:val="decimal"/>
      <w:suff w:val="nothing"/>
      <w:lvlText w:val="%5 :"/>
      <w:lvlJc w:val="left"/>
      <w:pPr>
        <w:ind w:left="1644" w:hanging="283"/>
      </w:pPr>
      <w:rPr>
        <w:rFonts w:ascii="Times New Roman" w:hAnsi="Times New Roman" w:hint="default"/>
        <w:b w:val="0"/>
        <w:i/>
        <w:sz w:val="24"/>
        <w:u w:val="singl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C"/>
    <w:rsid w:val="0000219E"/>
    <w:rsid w:val="00004B65"/>
    <w:rsid w:val="00004F28"/>
    <w:rsid w:val="00010AA6"/>
    <w:rsid w:val="000114F0"/>
    <w:rsid w:val="0001253B"/>
    <w:rsid w:val="00013039"/>
    <w:rsid w:val="00014AF3"/>
    <w:rsid w:val="000159BD"/>
    <w:rsid w:val="0001658C"/>
    <w:rsid w:val="000168B2"/>
    <w:rsid w:val="00016AA8"/>
    <w:rsid w:val="0001794A"/>
    <w:rsid w:val="000205FB"/>
    <w:rsid w:val="000211EE"/>
    <w:rsid w:val="00027ED0"/>
    <w:rsid w:val="0003000D"/>
    <w:rsid w:val="000302A1"/>
    <w:rsid w:val="000305EA"/>
    <w:rsid w:val="00031B0F"/>
    <w:rsid w:val="00033168"/>
    <w:rsid w:val="00035285"/>
    <w:rsid w:val="00035BEC"/>
    <w:rsid w:val="0004149C"/>
    <w:rsid w:val="00041CD2"/>
    <w:rsid w:val="000426DD"/>
    <w:rsid w:val="000446F9"/>
    <w:rsid w:val="00047A04"/>
    <w:rsid w:val="00052DE5"/>
    <w:rsid w:val="0005429F"/>
    <w:rsid w:val="0005517B"/>
    <w:rsid w:val="0005576F"/>
    <w:rsid w:val="00055D64"/>
    <w:rsid w:val="00057566"/>
    <w:rsid w:val="00064D81"/>
    <w:rsid w:val="00065F95"/>
    <w:rsid w:val="00066588"/>
    <w:rsid w:val="00067E86"/>
    <w:rsid w:val="00070BB3"/>
    <w:rsid w:val="00072F4B"/>
    <w:rsid w:val="00073172"/>
    <w:rsid w:val="00076B9B"/>
    <w:rsid w:val="00076F6C"/>
    <w:rsid w:val="00081646"/>
    <w:rsid w:val="000826C4"/>
    <w:rsid w:val="00082DB6"/>
    <w:rsid w:val="00083AED"/>
    <w:rsid w:val="00083BB1"/>
    <w:rsid w:val="00084B73"/>
    <w:rsid w:val="000856A9"/>
    <w:rsid w:val="000916E3"/>
    <w:rsid w:val="00094223"/>
    <w:rsid w:val="00094C4A"/>
    <w:rsid w:val="00094FC9"/>
    <w:rsid w:val="00096FF9"/>
    <w:rsid w:val="000A0025"/>
    <w:rsid w:val="000A076D"/>
    <w:rsid w:val="000A13C9"/>
    <w:rsid w:val="000A3B83"/>
    <w:rsid w:val="000A4544"/>
    <w:rsid w:val="000A5741"/>
    <w:rsid w:val="000A5D41"/>
    <w:rsid w:val="000A7265"/>
    <w:rsid w:val="000B006C"/>
    <w:rsid w:val="000B025E"/>
    <w:rsid w:val="000B146F"/>
    <w:rsid w:val="000B1492"/>
    <w:rsid w:val="000B3072"/>
    <w:rsid w:val="000B3FB1"/>
    <w:rsid w:val="000B76E7"/>
    <w:rsid w:val="000C0166"/>
    <w:rsid w:val="000C08E1"/>
    <w:rsid w:val="000C1BC9"/>
    <w:rsid w:val="000C2430"/>
    <w:rsid w:val="000C2681"/>
    <w:rsid w:val="000C52A8"/>
    <w:rsid w:val="000D0741"/>
    <w:rsid w:val="000D161C"/>
    <w:rsid w:val="000D1C0D"/>
    <w:rsid w:val="000D1F26"/>
    <w:rsid w:val="000D211B"/>
    <w:rsid w:val="000D3631"/>
    <w:rsid w:val="000D3FBD"/>
    <w:rsid w:val="000D4FF1"/>
    <w:rsid w:val="000D6B11"/>
    <w:rsid w:val="000D7725"/>
    <w:rsid w:val="000D7CDD"/>
    <w:rsid w:val="000E17B9"/>
    <w:rsid w:val="000E5B66"/>
    <w:rsid w:val="000E5CDC"/>
    <w:rsid w:val="000E69B1"/>
    <w:rsid w:val="000E6C14"/>
    <w:rsid w:val="000E7357"/>
    <w:rsid w:val="000F1D4E"/>
    <w:rsid w:val="000F236D"/>
    <w:rsid w:val="000F3107"/>
    <w:rsid w:val="000F36F8"/>
    <w:rsid w:val="000F417E"/>
    <w:rsid w:val="000F6B41"/>
    <w:rsid w:val="000F7A58"/>
    <w:rsid w:val="00103609"/>
    <w:rsid w:val="00103ACB"/>
    <w:rsid w:val="00104F5A"/>
    <w:rsid w:val="00107B3E"/>
    <w:rsid w:val="00111869"/>
    <w:rsid w:val="001119C5"/>
    <w:rsid w:val="00112240"/>
    <w:rsid w:val="001123AE"/>
    <w:rsid w:val="00112592"/>
    <w:rsid w:val="00113529"/>
    <w:rsid w:val="00114A26"/>
    <w:rsid w:val="00115916"/>
    <w:rsid w:val="001169F8"/>
    <w:rsid w:val="001204A1"/>
    <w:rsid w:val="00121803"/>
    <w:rsid w:val="00121D2D"/>
    <w:rsid w:val="0012229A"/>
    <w:rsid w:val="0012272B"/>
    <w:rsid w:val="00123FBE"/>
    <w:rsid w:val="001265DD"/>
    <w:rsid w:val="00126763"/>
    <w:rsid w:val="00127A38"/>
    <w:rsid w:val="00130CEB"/>
    <w:rsid w:val="00131CE4"/>
    <w:rsid w:val="00135EAE"/>
    <w:rsid w:val="00135F1F"/>
    <w:rsid w:val="00140BC3"/>
    <w:rsid w:val="001412FB"/>
    <w:rsid w:val="001418AE"/>
    <w:rsid w:val="00142AA9"/>
    <w:rsid w:val="00143B70"/>
    <w:rsid w:val="00143C1B"/>
    <w:rsid w:val="00143E97"/>
    <w:rsid w:val="00146584"/>
    <w:rsid w:val="00155A04"/>
    <w:rsid w:val="00161268"/>
    <w:rsid w:val="00162DE4"/>
    <w:rsid w:val="001636F3"/>
    <w:rsid w:val="00164006"/>
    <w:rsid w:val="00165A1C"/>
    <w:rsid w:val="00166465"/>
    <w:rsid w:val="001702F7"/>
    <w:rsid w:val="00171D13"/>
    <w:rsid w:val="00171F05"/>
    <w:rsid w:val="00172AA7"/>
    <w:rsid w:val="00173DAD"/>
    <w:rsid w:val="00173E83"/>
    <w:rsid w:val="00175D04"/>
    <w:rsid w:val="00176368"/>
    <w:rsid w:val="00177691"/>
    <w:rsid w:val="00177B3D"/>
    <w:rsid w:val="00177D38"/>
    <w:rsid w:val="001800D8"/>
    <w:rsid w:val="0018059C"/>
    <w:rsid w:val="00180620"/>
    <w:rsid w:val="00182AE3"/>
    <w:rsid w:val="00183B8D"/>
    <w:rsid w:val="00186C93"/>
    <w:rsid w:val="00187C0D"/>
    <w:rsid w:val="0019030B"/>
    <w:rsid w:val="0019043B"/>
    <w:rsid w:val="0019177B"/>
    <w:rsid w:val="00192BDC"/>
    <w:rsid w:val="00194826"/>
    <w:rsid w:val="0019484B"/>
    <w:rsid w:val="00195F6A"/>
    <w:rsid w:val="00197473"/>
    <w:rsid w:val="00197625"/>
    <w:rsid w:val="001A1D16"/>
    <w:rsid w:val="001A20C5"/>
    <w:rsid w:val="001A26CD"/>
    <w:rsid w:val="001A3B8B"/>
    <w:rsid w:val="001A41DA"/>
    <w:rsid w:val="001A4859"/>
    <w:rsid w:val="001B2219"/>
    <w:rsid w:val="001B3EE0"/>
    <w:rsid w:val="001B41A1"/>
    <w:rsid w:val="001B750D"/>
    <w:rsid w:val="001B7656"/>
    <w:rsid w:val="001C1894"/>
    <w:rsid w:val="001C3184"/>
    <w:rsid w:val="001C478F"/>
    <w:rsid w:val="001C651C"/>
    <w:rsid w:val="001C6B3C"/>
    <w:rsid w:val="001C7F69"/>
    <w:rsid w:val="001D3B39"/>
    <w:rsid w:val="001E01D9"/>
    <w:rsid w:val="001E2412"/>
    <w:rsid w:val="001E402C"/>
    <w:rsid w:val="001E520E"/>
    <w:rsid w:val="001E72FA"/>
    <w:rsid w:val="001E7D41"/>
    <w:rsid w:val="001F1645"/>
    <w:rsid w:val="00201855"/>
    <w:rsid w:val="00201B2A"/>
    <w:rsid w:val="00203ACC"/>
    <w:rsid w:val="00204551"/>
    <w:rsid w:val="00204BCE"/>
    <w:rsid w:val="00205312"/>
    <w:rsid w:val="002077AB"/>
    <w:rsid w:val="00207CA4"/>
    <w:rsid w:val="00212295"/>
    <w:rsid w:val="002127A5"/>
    <w:rsid w:val="00213402"/>
    <w:rsid w:val="00215E08"/>
    <w:rsid w:val="002163DE"/>
    <w:rsid w:val="00217104"/>
    <w:rsid w:val="00220213"/>
    <w:rsid w:val="00224066"/>
    <w:rsid w:val="00224C92"/>
    <w:rsid w:val="00225EFA"/>
    <w:rsid w:val="002266BB"/>
    <w:rsid w:val="00227B42"/>
    <w:rsid w:val="00227F9E"/>
    <w:rsid w:val="0023325F"/>
    <w:rsid w:val="00233C05"/>
    <w:rsid w:val="00234598"/>
    <w:rsid w:val="002357E6"/>
    <w:rsid w:val="00235AFA"/>
    <w:rsid w:val="00235EF1"/>
    <w:rsid w:val="00236D83"/>
    <w:rsid w:val="0024162B"/>
    <w:rsid w:val="00241896"/>
    <w:rsid w:val="00241BF9"/>
    <w:rsid w:val="002436D5"/>
    <w:rsid w:val="0024428A"/>
    <w:rsid w:val="00250C2A"/>
    <w:rsid w:val="00251375"/>
    <w:rsid w:val="00251B04"/>
    <w:rsid w:val="00251DA5"/>
    <w:rsid w:val="00252F1C"/>
    <w:rsid w:val="00252FB0"/>
    <w:rsid w:val="00253543"/>
    <w:rsid w:val="0025441B"/>
    <w:rsid w:val="00255426"/>
    <w:rsid w:val="0025791C"/>
    <w:rsid w:val="00263525"/>
    <w:rsid w:val="0026698A"/>
    <w:rsid w:val="00267778"/>
    <w:rsid w:val="00271D7A"/>
    <w:rsid w:val="00275609"/>
    <w:rsid w:val="002756F2"/>
    <w:rsid w:val="00277598"/>
    <w:rsid w:val="0027790C"/>
    <w:rsid w:val="00277E56"/>
    <w:rsid w:val="00281E18"/>
    <w:rsid w:val="0028274D"/>
    <w:rsid w:val="00283722"/>
    <w:rsid w:val="00283DD1"/>
    <w:rsid w:val="002843CC"/>
    <w:rsid w:val="00285D72"/>
    <w:rsid w:val="00291848"/>
    <w:rsid w:val="00293863"/>
    <w:rsid w:val="00295DB2"/>
    <w:rsid w:val="002A549C"/>
    <w:rsid w:val="002A75F1"/>
    <w:rsid w:val="002B0CAC"/>
    <w:rsid w:val="002B115A"/>
    <w:rsid w:val="002B1961"/>
    <w:rsid w:val="002B2762"/>
    <w:rsid w:val="002B3480"/>
    <w:rsid w:val="002B4846"/>
    <w:rsid w:val="002B4B40"/>
    <w:rsid w:val="002B5598"/>
    <w:rsid w:val="002B5AFC"/>
    <w:rsid w:val="002B6224"/>
    <w:rsid w:val="002B68FF"/>
    <w:rsid w:val="002B7C1A"/>
    <w:rsid w:val="002C0813"/>
    <w:rsid w:val="002C11DB"/>
    <w:rsid w:val="002C1898"/>
    <w:rsid w:val="002C2359"/>
    <w:rsid w:val="002C2DFE"/>
    <w:rsid w:val="002C34F4"/>
    <w:rsid w:val="002C69A8"/>
    <w:rsid w:val="002C707B"/>
    <w:rsid w:val="002D0395"/>
    <w:rsid w:val="002D1581"/>
    <w:rsid w:val="002D185C"/>
    <w:rsid w:val="002D1EAE"/>
    <w:rsid w:val="002D2794"/>
    <w:rsid w:val="002D281A"/>
    <w:rsid w:val="002D6511"/>
    <w:rsid w:val="002D7D7D"/>
    <w:rsid w:val="002E15AC"/>
    <w:rsid w:val="002E1DB7"/>
    <w:rsid w:val="002E28F7"/>
    <w:rsid w:val="002E29DA"/>
    <w:rsid w:val="002E2B71"/>
    <w:rsid w:val="002E3276"/>
    <w:rsid w:val="002E33DA"/>
    <w:rsid w:val="002E42DB"/>
    <w:rsid w:val="002E6837"/>
    <w:rsid w:val="002E7BA7"/>
    <w:rsid w:val="002E7F1C"/>
    <w:rsid w:val="002F0194"/>
    <w:rsid w:val="002F0C17"/>
    <w:rsid w:val="002F475A"/>
    <w:rsid w:val="002F4DC7"/>
    <w:rsid w:val="002F532F"/>
    <w:rsid w:val="002F73EB"/>
    <w:rsid w:val="00300457"/>
    <w:rsid w:val="00301EDA"/>
    <w:rsid w:val="0030208E"/>
    <w:rsid w:val="00302C07"/>
    <w:rsid w:val="00302CB1"/>
    <w:rsid w:val="00306198"/>
    <w:rsid w:val="0030647E"/>
    <w:rsid w:val="00306C12"/>
    <w:rsid w:val="00310409"/>
    <w:rsid w:val="00310646"/>
    <w:rsid w:val="00312AB3"/>
    <w:rsid w:val="0031376D"/>
    <w:rsid w:val="003144F1"/>
    <w:rsid w:val="00315D82"/>
    <w:rsid w:val="00316ACA"/>
    <w:rsid w:val="00322458"/>
    <w:rsid w:val="0032286F"/>
    <w:rsid w:val="003231A3"/>
    <w:rsid w:val="003278DD"/>
    <w:rsid w:val="0033006C"/>
    <w:rsid w:val="00331F54"/>
    <w:rsid w:val="003327E1"/>
    <w:rsid w:val="00333668"/>
    <w:rsid w:val="00334ADC"/>
    <w:rsid w:val="00334FD9"/>
    <w:rsid w:val="003355D6"/>
    <w:rsid w:val="003358F0"/>
    <w:rsid w:val="003378D5"/>
    <w:rsid w:val="00340614"/>
    <w:rsid w:val="00342D65"/>
    <w:rsid w:val="00343A30"/>
    <w:rsid w:val="00344A13"/>
    <w:rsid w:val="00345DB8"/>
    <w:rsid w:val="00347629"/>
    <w:rsid w:val="003507CD"/>
    <w:rsid w:val="0035084C"/>
    <w:rsid w:val="00350A10"/>
    <w:rsid w:val="00350CC9"/>
    <w:rsid w:val="003537B9"/>
    <w:rsid w:val="00354301"/>
    <w:rsid w:val="00354611"/>
    <w:rsid w:val="00356C07"/>
    <w:rsid w:val="003606BA"/>
    <w:rsid w:val="00360984"/>
    <w:rsid w:val="00360C5F"/>
    <w:rsid w:val="0036108E"/>
    <w:rsid w:val="00361411"/>
    <w:rsid w:val="00361B6D"/>
    <w:rsid w:val="00364C4F"/>
    <w:rsid w:val="0037065E"/>
    <w:rsid w:val="0037181F"/>
    <w:rsid w:val="00372C7D"/>
    <w:rsid w:val="0037304B"/>
    <w:rsid w:val="00374B9D"/>
    <w:rsid w:val="003757BC"/>
    <w:rsid w:val="0037646D"/>
    <w:rsid w:val="003768BC"/>
    <w:rsid w:val="00380AD8"/>
    <w:rsid w:val="00381561"/>
    <w:rsid w:val="00383F4F"/>
    <w:rsid w:val="00385080"/>
    <w:rsid w:val="00385AEC"/>
    <w:rsid w:val="00385DA5"/>
    <w:rsid w:val="00386FA7"/>
    <w:rsid w:val="00387747"/>
    <w:rsid w:val="003904C2"/>
    <w:rsid w:val="0039195A"/>
    <w:rsid w:val="00394FAB"/>
    <w:rsid w:val="003965D5"/>
    <w:rsid w:val="00396E3B"/>
    <w:rsid w:val="00397692"/>
    <w:rsid w:val="003A0CC4"/>
    <w:rsid w:val="003A305D"/>
    <w:rsid w:val="003A3998"/>
    <w:rsid w:val="003A5A91"/>
    <w:rsid w:val="003B0914"/>
    <w:rsid w:val="003B1CAA"/>
    <w:rsid w:val="003B3D4C"/>
    <w:rsid w:val="003B47C1"/>
    <w:rsid w:val="003B5BC2"/>
    <w:rsid w:val="003B66E4"/>
    <w:rsid w:val="003C0FEC"/>
    <w:rsid w:val="003C106E"/>
    <w:rsid w:val="003C10A3"/>
    <w:rsid w:val="003C16C2"/>
    <w:rsid w:val="003C1AEA"/>
    <w:rsid w:val="003C54AE"/>
    <w:rsid w:val="003C6535"/>
    <w:rsid w:val="003D304D"/>
    <w:rsid w:val="003D3C26"/>
    <w:rsid w:val="003D746B"/>
    <w:rsid w:val="003D7A81"/>
    <w:rsid w:val="003E080D"/>
    <w:rsid w:val="003E09DF"/>
    <w:rsid w:val="003E202C"/>
    <w:rsid w:val="003E4E9E"/>
    <w:rsid w:val="003E6740"/>
    <w:rsid w:val="003F0467"/>
    <w:rsid w:val="003F40B0"/>
    <w:rsid w:val="003F476E"/>
    <w:rsid w:val="0040304E"/>
    <w:rsid w:val="00403D5E"/>
    <w:rsid w:val="0040494E"/>
    <w:rsid w:val="00404C77"/>
    <w:rsid w:val="00405E27"/>
    <w:rsid w:val="00406278"/>
    <w:rsid w:val="004066FE"/>
    <w:rsid w:val="00410D2C"/>
    <w:rsid w:val="004136D3"/>
    <w:rsid w:val="004138FE"/>
    <w:rsid w:val="004175B4"/>
    <w:rsid w:val="0042028B"/>
    <w:rsid w:val="00420DCC"/>
    <w:rsid w:val="00421835"/>
    <w:rsid w:val="00423A4D"/>
    <w:rsid w:val="00423DCE"/>
    <w:rsid w:val="00423E5D"/>
    <w:rsid w:val="00424825"/>
    <w:rsid w:val="00424A8B"/>
    <w:rsid w:val="004304F7"/>
    <w:rsid w:val="00431705"/>
    <w:rsid w:val="004324C2"/>
    <w:rsid w:val="00432A83"/>
    <w:rsid w:val="004335A7"/>
    <w:rsid w:val="00434B22"/>
    <w:rsid w:val="00434E23"/>
    <w:rsid w:val="00436707"/>
    <w:rsid w:val="004404B3"/>
    <w:rsid w:val="0044671A"/>
    <w:rsid w:val="004474E7"/>
    <w:rsid w:val="00450490"/>
    <w:rsid w:val="00451F9E"/>
    <w:rsid w:val="00452EDD"/>
    <w:rsid w:val="004544DA"/>
    <w:rsid w:val="0045479D"/>
    <w:rsid w:val="00455F03"/>
    <w:rsid w:val="004562E0"/>
    <w:rsid w:val="00457385"/>
    <w:rsid w:val="00460B33"/>
    <w:rsid w:val="00461054"/>
    <w:rsid w:val="004614F4"/>
    <w:rsid w:val="0046177A"/>
    <w:rsid w:val="004622D5"/>
    <w:rsid w:val="00464846"/>
    <w:rsid w:val="004649C3"/>
    <w:rsid w:val="004650FF"/>
    <w:rsid w:val="004672AA"/>
    <w:rsid w:val="00470699"/>
    <w:rsid w:val="004716A8"/>
    <w:rsid w:val="004723D0"/>
    <w:rsid w:val="004728E4"/>
    <w:rsid w:val="004750F7"/>
    <w:rsid w:val="00482BC6"/>
    <w:rsid w:val="004841E5"/>
    <w:rsid w:val="004842EF"/>
    <w:rsid w:val="00484B92"/>
    <w:rsid w:val="00485384"/>
    <w:rsid w:val="00486921"/>
    <w:rsid w:val="00486CF3"/>
    <w:rsid w:val="00487525"/>
    <w:rsid w:val="004903FF"/>
    <w:rsid w:val="0049128D"/>
    <w:rsid w:val="0049423A"/>
    <w:rsid w:val="004944F0"/>
    <w:rsid w:val="00494AE0"/>
    <w:rsid w:val="00495267"/>
    <w:rsid w:val="00497505"/>
    <w:rsid w:val="004A052D"/>
    <w:rsid w:val="004A16A1"/>
    <w:rsid w:val="004A216E"/>
    <w:rsid w:val="004A2560"/>
    <w:rsid w:val="004A4656"/>
    <w:rsid w:val="004A4C49"/>
    <w:rsid w:val="004A524B"/>
    <w:rsid w:val="004A79F7"/>
    <w:rsid w:val="004B0732"/>
    <w:rsid w:val="004B1131"/>
    <w:rsid w:val="004B20EC"/>
    <w:rsid w:val="004B2496"/>
    <w:rsid w:val="004B3278"/>
    <w:rsid w:val="004B3B25"/>
    <w:rsid w:val="004C07E7"/>
    <w:rsid w:val="004C1DB0"/>
    <w:rsid w:val="004C2A38"/>
    <w:rsid w:val="004C4478"/>
    <w:rsid w:val="004C4636"/>
    <w:rsid w:val="004C5077"/>
    <w:rsid w:val="004C7211"/>
    <w:rsid w:val="004C74E5"/>
    <w:rsid w:val="004D1F07"/>
    <w:rsid w:val="004D23C4"/>
    <w:rsid w:val="004D4501"/>
    <w:rsid w:val="004D4F6C"/>
    <w:rsid w:val="004D5466"/>
    <w:rsid w:val="004E0871"/>
    <w:rsid w:val="004E1C1A"/>
    <w:rsid w:val="004E2465"/>
    <w:rsid w:val="004E2C5E"/>
    <w:rsid w:val="004E41C5"/>
    <w:rsid w:val="004E5B0E"/>
    <w:rsid w:val="004E6935"/>
    <w:rsid w:val="004E6D4C"/>
    <w:rsid w:val="004E7188"/>
    <w:rsid w:val="004E7A65"/>
    <w:rsid w:val="004E7CF3"/>
    <w:rsid w:val="004F1579"/>
    <w:rsid w:val="004F4EDE"/>
    <w:rsid w:val="0050638B"/>
    <w:rsid w:val="00506E7B"/>
    <w:rsid w:val="00507D5C"/>
    <w:rsid w:val="00511F18"/>
    <w:rsid w:val="0051207A"/>
    <w:rsid w:val="005128D7"/>
    <w:rsid w:val="00514011"/>
    <w:rsid w:val="00520531"/>
    <w:rsid w:val="0052071E"/>
    <w:rsid w:val="00521798"/>
    <w:rsid w:val="00522F6D"/>
    <w:rsid w:val="005233B3"/>
    <w:rsid w:val="0052651F"/>
    <w:rsid w:val="005265C2"/>
    <w:rsid w:val="005310BF"/>
    <w:rsid w:val="00531FE5"/>
    <w:rsid w:val="00532133"/>
    <w:rsid w:val="005322C5"/>
    <w:rsid w:val="005322E5"/>
    <w:rsid w:val="00532828"/>
    <w:rsid w:val="00533B26"/>
    <w:rsid w:val="00535C1B"/>
    <w:rsid w:val="005377DB"/>
    <w:rsid w:val="0053782D"/>
    <w:rsid w:val="00545017"/>
    <w:rsid w:val="00545028"/>
    <w:rsid w:val="00546993"/>
    <w:rsid w:val="00547F96"/>
    <w:rsid w:val="005515CD"/>
    <w:rsid w:val="00551E26"/>
    <w:rsid w:val="00552815"/>
    <w:rsid w:val="00552EBF"/>
    <w:rsid w:val="00553C6E"/>
    <w:rsid w:val="005543FC"/>
    <w:rsid w:val="00556457"/>
    <w:rsid w:val="00560D71"/>
    <w:rsid w:val="00560F16"/>
    <w:rsid w:val="005616ED"/>
    <w:rsid w:val="00562102"/>
    <w:rsid w:val="00562365"/>
    <w:rsid w:val="00562E3E"/>
    <w:rsid w:val="00564051"/>
    <w:rsid w:val="005656FC"/>
    <w:rsid w:val="005668EC"/>
    <w:rsid w:val="00567DBF"/>
    <w:rsid w:val="00567E75"/>
    <w:rsid w:val="00570921"/>
    <w:rsid w:val="00570DFA"/>
    <w:rsid w:val="0057452A"/>
    <w:rsid w:val="0057661D"/>
    <w:rsid w:val="00577347"/>
    <w:rsid w:val="00577E5E"/>
    <w:rsid w:val="005808E5"/>
    <w:rsid w:val="00582706"/>
    <w:rsid w:val="00583D26"/>
    <w:rsid w:val="00584EF6"/>
    <w:rsid w:val="00585CEF"/>
    <w:rsid w:val="00590212"/>
    <w:rsid w:val="00590319"/>
    <w:rsid w:val="00590707"/>
    <w:rsid w:val="005922E9"/>
    <w:rsid w:val="005923C1"/>
    <w:rsid w:val="00592897"/>
    <w:rsid w:val="005949D9"/>
    <w:rsid w:val="00595E02"/>
    <w:rsid w:val="0059751E"/>
    <w:rsid w:val="005977AE"/>
    <w:rsid w:val="005A0018"/>
    <w:rsid w:val="005A099C"/>
    <w:rsid w:val="005A0C61"/>
    <w:rsid w:val="005A2EE1"/>
    <w:rsid w:val="005A3558"/>
    <w:rsid w:val="005A37FD"/>
    <w:rsid w:val="005A3B6F"/>
    <w:rsid w:val="005A3FE3"/>
    <w:rsid w:val="005A58AE"/>
    <w:rsid w:val="005A61E0"/>
    <w:rsid w:val="005B47F5"/>
    <w:rsid w:val="005B50AC"/>
    <w:rsid w:val="005B5842"/>
    <w:rsid w:val="005B5D27"/>
    <w:rsid w:val="005C0651"/>
    <w:rsid w:val="005C09AF"/>
    <w:rsid w:val="005C196B"/>
    <w:rsid w:val="005C19C9"/>
    <w:rsid w:val="005C2226"/>
    <w:rsid w:val="005C24A5"/>
    <w:rsid w:val="005C30AC"/>
    <w:rsid w:val="005C3409"/>
    <w:rsid w:val="005C3C06"/>
    <w:rsid w:val="005C5BE5"/>
    <w:rsid w:val="005C7183"/>
    <w:rsid w:val="005D013E"/>
    <w:rsid w:val="005D2C0E"/>
    <w:rsid w:val="005D5232"/>
    <w:rsid w:val="005D6CF4"/>
    <w:rsid w:val="005E0D22"/>
    <w:rsid w:val="005E0E4D"/>
    <w:rsid w:val="005E2C2B"/>
    <w:rsid w:val="005E5FAE"/>
    <w:rsid w:val="005E7A20"/>
    <w:rsid w:val="005F06F6"/>
    <w:rsid w:val="005F1469"/>
    <w:rsid w:val="005F17C8"/>
    <w:rsid w:val="005F23F7"/>
    <w:rsid w:val="005F28CE"/>
    <w:rsid w:val="005F2B4C"/>
    <w:rsid w:val="005F3344"/>
    <w:rsid w:val="005F344A"/>
    <w:rsid w:val="005F391E"/>
    <w:rsid w:val="005F3BA0"/>
    <w:rsid w:val="005F3CCF"/>
    <w:rsid w:val="005F3DFB"/>
    <w:rsid w:val="005F3FB4"/>
    <w:rsid w:val="005F5E63"/>
    <w:rsid w:val="005F67CF"/>
    <w:rsid w:val="0060244B"/>
    <w:rsid w:val="00605250"/>
    <w:rsid w:val="00605A38"/>
    <w:rsid w:val="00605F3C"/>
    <w:rsid w:val="00606168"/>
    <w:rsid w:val="0060686A"/>
    <w:rsid w:val="00606C5A"/>
    <w:rsid w:val="0060779C"/>
    <w:rsid w:val="0061392E"/>
    <w:rsid w:val="00614684"/>
    <w:rsid w:val="00615FDE"/>
    <w:rsid w:val="00616A80"/>
    <w:rsid w:val="00620B31"/>
    <w:rsid w:val="00622DC7"/>
    <w:rsid w:val="00622FE0"/>
    <w:rsid w:val="006253F2"/>
    <w:rsid w:val="0062758C"/>
    <w:rsid w:val="00633D69"/>
    <w:rsid w:val="006358C5"/>
    <w:rsid w:val="00636EF7"/>
    <w:rsid w:val="0063712B"/>
    <w:rsid w:val="006375D8"/>
    <w:rsid w:val="00637645"/>
    <w:rsid w:val="0064026C"/>
    <w:rsid w:val="00640DC8"/>
    <w:rsid w:val="0064170F"/>
    <w:rsid w:val="00642274"/>
    <w:rsid w:val="0064455F"/>
    <w:rsid w:val="00644C61"/>
    <w:rsid w:val="00644E5B"/>
    <w:rsid w:val="00646633"/>
    <w:rsid w:val="00647D39"/>
    <w:rsid w:val="00650AE0"/>
    <w:rsid w:val="006512C6"/>
    <w:rsid w:val="00652932"/>
    <w:rsid w:val="00652BE2"/>
    <w:rsid w:val="0065398F"/>
    <w:rsid w:val="00654661"/>
    <w:rsid w:val="0065486B"/>
    <w:rsid w:val="00655656"/>
    <w:rsid w:val="0065577C"/>
    <w:rsid w:val="006558CF"/>
    <w:rsid w:val="00656B02"/>
    <w:rsid w:val="00656DB0"/>
    <w:rsid w:val="006573A5"/>
    <w:rsid w:val="006622D3"/>
    <w:rsid w:val="00662564"/>
    <w:rsid w:val="00663307"/>
    <w:rsid w:val="00664A74"/>
    <w:rsid w:val="006651A9"/>
    <w:rsid w:val="00671A0C"/>
    <w:rsid w:val="00672939"/>
    <w:rsid w:val="00673AF3"/>
    <w:rsid w:val="00676BBE"/>
    <w:rsid w:val="00676F1D"/>
    <w:rsid w:val="00680FC9"/>
    <w:rsid w:val="00681519"/>
    <w:rsid w:val="0068155F"/>
    <w:rsid w:val="006823A4"/>
    <w:rsid w:val="00682652"/>
    <w:rsid w:val="006826ED"/>
    <w:rsid w:val="00683BD3"/>
    <w:rsid w:val="00684948"/>
    <w:rsid w:val="006857C5"/>
    <w:rsid w:val="00685D48"/>
    <w:rsid w:val="006861E0"/>
    <w:rsid w:val="006864EE"/>
    <w:rsid w:val="00691052"/>
    <w:rsid w:val="00691D2B"/>
    <w:rsid w:val="00692498"/>
    <w:rsid w:val="006932E5"/>
    <w:rsid w:val="0069459F"/>
    <w:rsid w:val="00694B81"/>
    <w:rsid w:val="006A0E87"/>
    <w:rsid w:val="006A2C4F"/>
    <w:rsid w:val="006A3C24"/>
    <w:rsid w:val="006A52CA"/>
    <w:rsid w:val="006A6354"/>
    <w:rsid w:val="006A6D48"/>
    <w:rsid w:val="006A6E43"/>
    <w:rsid w:val="006A74E1"/>
    <w:rsid w:val="006A7BCF"/>
    <w:rsid w:val="006B0EDA"/>
    <w:rsid w:val="006B136E"/>
    <w:rsid w:val="006B1A4C"/>
    <w:rsid w:val="006B26F4"/>
    <w:rsid w:val="006B2C99"/>
    <w:rsid w:val="006B377F"/>
    <w:rsid w:val="006B4D88"/>
    <w:rsid w:val="006B4E45"/>
    <w:rsid w:val="006B5741"/>
    <w:rsid w:val="006B5845"/>
    <w:rsid w:val="006B604C"/>
    <w:rsid w:val="006C0E59"/>
    <w:rsid w:val="006C181F"/>
    <w:rsid w:val="006C4464"/>
    <w:rsid w:val="006C62BA"/>
    <w:rsid w:val="006C6785"/>
    <w:rsid w:val="006C6E28"/>
    <w:rsid w:val="006D0FB5"/>
    <w:rsid w:val="006D2005"/>
    <w:rsid w:val="006D25D5"/>
    <w:rsid w:val="006D3CE3"/>
    <w:rsid w:val="006D48DD"/>
    <w:rsid w:val="006D6B8F"/>
    <w:rsid w:val="006D6E8D"/>
    <w:rsid w:val="006D708F"/>
    <w:rsid w:val="006D7375"/>
    <w:rsid w:val="006D7FC7"/>
    <w:rsid w:val="006E0B16"/>
    <w:rsid w:val="006E2FAA"/>
    <w:rsid w:val="006E3EC6"/>
    <w:rsid w:val="006E43CC"/>
    <w:rsid w:val="006E6015"/>
    <w:rsid w:val="006E66FE"/>
    <w:rsid w:val="006E6A74"/>
    <w:rsid w:val="006F1BB6"/>
    <w:rsid w:val="006F34CD"/>
    <w:rsid w:val="006F3711"/>
    <w:rsid w:val="006F3887"/>
    <w:rsid w:val="006F4EF4"/>
    <w:rsid w:val="006F6E00"/>
    <w:rsid w:val="006F6FAF"/>
    <w:rsid w:val="00701F05"/>
    <w:rsid w:val="00702A1C"/>
    <w:rsid w:val="00702D8C"/>
    <w:rsid w:val="00703844"/>
    <w:rsid w:val="00704C69"/>
    <w:rsid w:val="00704D59"/>
    <w:rsid w:val="00710005"/>
    <w:rsid w:val="00710DF8"/>
    <w:rsid w:val="00711235"/>
    <w:rsid w:val="00712573"/>
    <w:rsid w:val="00712D83"/>
    <w:rsid w:val="00715A8D"/>
    <w:rsid w:val="00717550"/>
    <w:rsid w:val="007222E5"/>
    <w:rsid w:val="00722506"/>
    <w:rsid w:val="007225C1"/>
    <w:rsid w:val="007243C3"/>
    <w:rsid w:val="007256BD"/>
    <w:rsid w:val="00726398"/>
    <w:rsid w:val="007266C8"/>
    <w:rsid w:val="00730628"/>
    <w:rsid w:val="00730799"/>
    <w:rsid w:val="00731358"/>
    <w:rsid w:val="00731653"/>
    <w:rsid w:val="007319EE"/>
    <w:rsid w:val="00732ED2"/>
    <w:rsid w:val="007336B4"/>
    <w:rsid w:val="00736126"/>
    <w:rsid w:val="00736B15"/>
    <w:rsid w:val="00742CEC"/>
    <w:rsid w:val="007437A5"/>
    <w:rsid w:val="00743B94"/>
    <w:rsid w:val="00744614"/>
    <w:rsid w:val="007470D6"/>
    <w:rsid w:val="00747273"/>
    <w:rsid w:val="0075086D"/>
    <w:rsid w:val="00750901"/>
    <w:rsid w:val="00753AB1"/>
    <w:rsid w:val="00754D49"/>
    <w:rsid w:val="007567DF"/>
    <w:rsid w:val="00756862"/>
    <w:rsid w:val="00760003"/>
    <w:rsid w:val="00761C46"/>
    <w:rsid w:val="0076206D"/>
    <w:rsid w:val="00765406"/>
    <w:rsid w:val="0076628F"/>
    <w:rsid w:val="00766660"/>
    <w:rsid w:val="007668A1"/>
    <w:rsid w:val="00767184"/>
    <w:rsid w:val="00770D8F"/>
    <w:rsid w:val="00772AE2"/>
    <w:rsid w:val="00772FA5"/>
    <w:rsid w:val="00774231"/>
    <w:rsid w:val="00775AC4"/>
    <w:rsid w:val="00776427"/>
    <w:rsid w:val="007765F0"/>
    <w:rsid w:val="00776AB3"/>
    <w:rsid w:val="0077753C"/>
    <w:rsid w:val="0078185B"/>
    <w:rsid w:val="00781D32"/>
    <w:rsid w:val="00783DD5"/>
    <w:rsid w:val="00784A90"/>
    <w:rsid w:val="00785E81"/>
    <w:rsid w:val="0078631E"/>
    <w:rsid w:val="00786BC8"/>
    <w:rsid w:val="00790D4E"/>
    <w:rsid w:val="00791128"/>
    <w:rsid w:val="00791980"/>
    <w:rsid w:val="00792742"/>
    <w:rsid w:val="00795CA7"/>
    <w:rsid w:val="007968B0"/>
    <w:rsid w:val="00797DE9"/>
    <w:rsid w:val="00797FB6"/>
    <w:rsid w:val="007A1687"/>
    <w:rsid w:val="007A1DFF"/>
    <w:rsid w:val="007A3EBA"/>
    <w:rsid w:val="007B076D"/>
    <w:rsid w:val="007B0953"/>
    <w:rsid w:val="007B0F5A"/>
    <w:rsid w:val="007B3776"/>
    <w:rsid w:val="007B493D"/>
    <w:rsid w:val="007B4B0D"/>
    <w:rsid w:val="007B4C00"/>
    <w:rsid w:val="007B66D6"/>
    <w:rsid w:val="007C038A"/>
    <w:rsid w:val="007C0B00"/>
    <w:rsid w:val="007C1B7B"/>
    <w:rsid w:val="007C411C"/>
    <w:rsid w:val="007C6850"/>
    <w:rsid w:val="007C7F17"/>
    <w:rsid w:val="007D302B"/>
    <w:rsid w:val="007D4222"/>
    <w:rsid w:val="007D4450"/>
    <w:rsid w:val="007D4A47"/>
    <w:rsid w:val="007D5727"/>
    <w:rsid w:val="007D58F1"/>
    <w:rsid w:val="007D5C89"/>
    <w:rsid w:val="007D7329"/>
    <w:rsid w:val="007D763A"/>
    <w:rsid w:val="007E01FF"/>
    <w:rsid w:val="007E1BCA"/>
    <w:rsid w:val="007E1BD7"/>
    <w:rsid w:val="007E2819"/>
    <w:rsid w:val="007E3302"/>
    <w:rsid w:val="007E4C2B"/>
    <w:rsid w:val="007E5DF4"/>
    <w:rsid w:val="007E71C8"/>
    <w:rsid w:val="007E77AA"/>
    <w:rsid w:val="007F2811"/>
    <w:rsid w:val="007F3F21"/>
    <w:rsid w:val="007F48DC"/>
    <w:rsid w:val="007F4E55"/>
    <w:rsid w:val="007F6445"/>
    <w:rsid w:val="00801D3D"/>
    <w:rsid w:val="0080206E"/>
    <w:rsid w:val="00803433"/>
    <w:rsid w:val="008049F8"/>
    <w:rsid w:val="0080571B"/>
    <w:rsid w:val="00806AB2"/>
    <w:rsid w:val="008104DD"/>
    <w:rsid w:val="0081234D"/>
    <w:rsid w:val="00813E3E"/>
    <w:rsid w:val="00815191"/>
    <w:rsid w:val="00815666"/>
    <w:rsid w:val="00815C93"/>
    <w:rsid w:val="00820077"/>
    <w:rsid w:val="008215AE"/>
    <w:rsid w:val="008235D2"/>
    <w:rsid w:val="008238E3"/>
    <w:rsid w:val="00824FBB"/>
    <w:rsid w:val="008264CA"/>
    <w:rsid w:val="00827B75"/>
    <w:rsid w:val="00831591"/>
    <w:rsid w:val="008339B9"/>
    <w:rsid w:val="00833FE5"/>
    <w:rsid w:val="00836679"/>
    <w:rsid w:val="00837694"/>
    <w:rsid w:val="00837771"/>
    <w:rsid w:val="00837B40"/>
    <w:rsid w:val="00837CC5"/>
    <w:rsid w:val="00840525"/>
    <w:rsid w:val="00840699"/>
    <w:rsid w:val="00843BF2"/>
    <w:rsid w:val="008442CC"/>
    <w:rsid w:val="00844553"/>
    <w:rsid w:val="00844879"/>
    <w:rsid w:val="00844D06"/>
    <w:rsid w:val="00845ED9"/>
    <w:rsid w:val="00846685"/>
    <w:rsid w:val="00847138"/>
    <w:rsid w:val="008504CA"/>
    <w:rsid w:val="00850948"/>
    <w:rsid w:val="0085124C"/>
    <w:rsid w:val="0085163D"/>
    <w:rsid w:val="00851C23"/>
    <w:rsid w:val="00852471"/>
    <w:rsid w:val="00852DA8"/>
    <w:rsid w:val="00853204"/>
    <w:rsid w:val="00855839"/>
    <w:rsid w:val="0085645B"/>
    <w:rsid w:val="0085774F"/>
    <w:rsid w:val="008604AB"/>
    <w:rsid w:val="00863EBD"/>
    <w:rsid w:val="0087147C"/>
    <w:rsid w:val="00872C65"/>
    <w:rsid w:val="00873307"/>
    <w:rsid w:val="00875D7E"/>
    <w:rsid w:val="008776AF"/>
    <w:rsid w:val="00877875"/>
    <w:rsid w:val="0088692F"/>
    <w:rsid w:val="0089093C"/>
    <w:rsid w:val="00890C67"/>
    <w:rsid w:val="008911E6"/>
    <w:rsid w:val="00891AB7"/>
    <w:rsid w:val="00891C83"/>
    <w:rsid w:val="008925DF"/>
    <w:rsid w:val="00895712"/>
    <w:rsid w:val="00895843"/>
    <w:rsid w:val="00895DAE"/>
    <w:rsid w:val="008A3EAC"/>
    <w:rsid w:val="008A481A"/>
    <w:rsid w:val="008A6162"/>
    <w:rsid w:val="008B0FC1"/>
    <w:rsid w:val="008B1D1C"/>
    <w:rsid w:val="008B25A1"/>
    <w:rsid w:val="008B28FA"/>
    <w:rsid w:val="008B3384"/>
    <w:rsid w:val="008B5CCB"/>
    <w:rsid w:val="008B7906"/>
    <w:rsid w:val="008C0289"/>
    <w:rsid w:val="008C201D"/>
    <w:rsid w:val="008C2C6E"/>
    <w:rsid w:val="008C2C88"/>
    <w:rsid w:val="008C2D18"/>
    <w:rsid w:val="008C3F18"/>
    <w:rsid w:val="008C44A2"/>
    <w:rsid w:val="008C579A"/>
    <w:rsid w:val="008C5C1C"/>
    <w:rsid w:val="008C76BA"/>
    <w:rsid w:val="008D0EAB"/>
    <w:rsid w:val="008D77A9"/>
    <w:rsid w:val="008E1CE0"/>
    <w:rsid w:val="008E62B4"/>
    <w:rsid w:val="008E6B45"/>
    <w:rsid w:val="008E7961"/>
    <w:rsid w:val="008F1CE9"/>
    <w:rsid w:val="008F1E63"/>
    <w:rsid w:val="008F24A0"/>
    <w:rsid w:val="008F26D6"/>
    <w:rsid w:val="008F2E0F"/>
    <w:rsid w:val="008F3D55"/>
    <w:rsid w:val="008F5C92"/>
    <w:rsid w:val="008F760A"/>
    <w:rsid w:val="00903456"/>
    <w:rsid w:val="00904EBA"/>
    <w:rsid w:val="009067D4"/>
    <w:rsid w:val="00906E74"/>
    <w:rsid w:val="00907965"/>
    <w:rsid w:val="00907DFD"/>
    <w:rsid w:val="00911D47"/>
    <w:rsid w:val="009124F2"/>
    <w:rsid w:val="009131B2"/>
    <w:rsid w:val="0091511C"/>
    <w:rsid w:val="0091617D"/>
    <w:rsid w:val="00916DF5"/>
    <w:rsid w:val="00916F0E"/>
    <w:rsid w:val="009205CF"/>
    <w:rsid w:val="0092224E"/>
    <w:rsid w:val="0092320D"/>
    <w:rsid w:val="0092495F"/>
    <w:rsid w:val="009258E2"/>
    <w:rsid w:val="00925E63"/>
    <w:rsid w:val="00930BF9"/>
    <w:rsid w:val="0093191A"/>
    <w:rsid w:val="009324FF"/>
    <w:rsid w:val="00933C24"/>
    <w:rsid w:val="009352A9"/>
    <w:rsid w:val="00935535"/>
    <w:rsid w:val="00936DC1"/>
    <w:rsid w:val="009400AE"/>
    <w:rsid w:val="00942AD1"/>
    <w:rsid w:val="009432FD"/>
    <w:rsid w:val="00946F78"/>
    <w:rsid w:val="0095096E"/>
    <w:rsid w:val="00952719"/>
    <w:rsid w:val="00952D0C"/>
    <w:rsid w:val="00953C81"/>
    <w:rsid w:val="00955516"/>
    <w:rsid w:val="0095566B"/>
    <w:rsid w:val="00955994"/>
    <w:rsid w:val="00957207"/>
    <w:rsid w:val="0096019F"/>
    <w:rsid w:val="00960C5C"/>
    <w:rsid w:val="00961179"/>
    <w:rsid w:val="0096172F"/>
    <w:rsid w:val="0096363E"/>
    <w:rsid w:val="00963B36"/>
    <w:rsid w:val="00965032"/>
    <w:rsid w:val="00967F02"/>
    <w:rsid w:val="009710E0"/>
    <w:rsid w:val="00971B20"/>
    <w:rsid w:val="009731A3"/>
    <w:rsid w:val="009743CC"/>
    <w:rsid w:val="00981F64"/>
    <w:rsid w:val="00982A31"/>
    <w:rsid w:val="00983947"/>
    <w:rsid w:val="00983D0C"/>
    <w:rsid w:val="0098691C"/>
    <w:rsid w:val="00987A19"/>
    <w:rsid w:val="00987BC9"/>
    <w:rsid w:val="00991179"/>
    <w:rsid w:val="00994701"/>
    <w:rsid w:val="0099500B"/>
    <w:rsid w:val="00995AAD"/>
    <w:rsid w:val="00995DEF"/>
    <w:rsid w:val="009A10FF"/>
    <w:rsid w:val="009A28BD"/>
    <w:rsid w:val="009A2C9F"/>
    <w:rsid w:val="009A3FB1"/>
    <w:rsid w:val="009A4004"/>
    <w:rsid w:val="009A5E31"/>
    <w:rsid w:val="009A67DB"/>
    <w:rsid w:val="009A71D7"/>
    <w:rsid w:val="009B0E0B"/>
    <w:rsid w:val="009B2315"/>
    <w:rsid w:val="009B462A"/>
    <w:rsid w:val="009B7199"/>
    <w:rsid w:val="009C26AD"/>
    <w:rsid w:val="009C3732"/>
    <w:rsid w:val="009C5CC3"/>
    <w:rsid w:val="009C63C4"/>
    <w:rsid w:val="009C6F7B"/>
    <w:rsid w:val="009D1CA3"/>
    <w:rsid w:val="009D2A19"/>
    <w:rsid w:val="009D2AF0"/>
    <w:rsid w:val="009D2C55"/>
    <w:rsid w:val="009D305F"/>
    <w:rsid w:val="009D4B81"/>
    <w:rsid w:val="009D7EF5"/>
    <w:rsid w:val="009E067D"/>
    <w:rsid w:val="009E0AF2"/>
    <w:rsid w:val="009E2C57"/>
    <w:rsid w:val="009E3051"/>
    <w:rsid w:val="009E469D"/>
    <w:rsid w:val="009E4D0C"/>
    <w:rsid w:val="009E72EA"/>
    <w:rsid w:val="009E7C79"/>
    <w:rsid w:val="009F075C"/>
    <w:rsid w:val="009F3342"/>
    <w:rsid w:val="009F3365"/>
    <w:rsid w:val="009F477C"/>
    <w:rsid w:val="009F6DAD"/>
    <w:rsid w:val="00A00EFB"/>
    <w:rsid w:val="00A0501E"/>
    <w:rsid w:val="00A0688E"/>
    <w:rsid w:val="00A069A1"/>
    <w:rsid w:val="00A06AC6"/>
    <w:rsid w:val="00A10F1C"/>
    <w:rsid w:val="00A131C9"/>
    <w:rsid w:val="00A139A4"/>
    <w:rsid w:val="00A1420A"/>
    <w:rsid w:val="00A1780D"/>
    <w:rsid w:val="00A2168E"/>
    <w:rsid w:val="00A2219B"/>
    <w:rsid w:val="00A227B6"/>
    <w:rsid w:val="00A22F90"/>
    <w:rsid w:val="00A250DF"/>
    <w:rsid w:val="00A264A5"/>
    <w:rsid w:val="00A2699F"/>
    <w:rsid w:val="00A27E12"/>
    <w:rsid w:val="00A31830"/>
    <w:rsid w:val="00A32802"/>
    <w:rsid w:val="00A37DB9"/>
    <w:rsid w:val="00A404D0"/>
    <w:rsid w:val="00A40AEB"/>
    <w:rsid w:val="00A40CD0"/>
    <w:rsid w:val="00A40DA8"/>
    <w:rsid w:val="00A417AC"/>
    <w:rsid w:val="00A42927"/>
    <w:rsid w:val="00A44CDD"/>
    <w:rsid w:val="00A46417"/>
    <w:rsid w:val="00A46B8E"/>
    <w:rsid w:val="00A500EE"/>
    <w:rsid w:val="00A512A9"/>
    <w:rsid w:val="00A52D80"/>
    <w:rsid w:val="00A5312A"/>
    <w:rsid w:val="00A537A4"/>
    <w:rsid w:val="00A548DF"/>
    <w:rsid w:val="00A57753"/>
    <w:rsid w:val="00A6180F"/>
    <w:rsid w:val="00A62D5D"/>
    <w:rsid w:val="00A63A3E"/>
    <w:rsid w:val="00A65C6A"/>
    <w:rsid w:val="00A66021"/>
    <w:rsid w:val="00A66EA1"/>
    <w:rsid w:val="00A67950"/>
    <w:rsid w:val="00A67AA2"/>
    <w:rsid w:val="00A70225"/>
    <w:rsid w:val="00A70C18"/>
    <w:rsid w:val="00A75F64"/>
    <w:rsid w:val="00A775C3"/>
    <w:rsid w:val="00A825BE"/>
    <w:rsid w:val="00A83DEF"/>
    <w:rsid w:val="00A85C24"/>
    <w:rsid w:val="00A86CF5"/>
    <w:rsid w:val="00A90F9C"/>
    <w:rsid w:val="00A92503"/>
    <w:rsid w:val="00A93520"/>
    <w:rsid w:val="00A95CCD"/>
    <w:rsid w:val="00A9670A"/>
    <w:rsid w:val="00AA07DF"/>
    <w:rsid w:val="00AA128A"/>
    <w:rsid w:val="00AA27DC"/>
    <w:rsid w:val="00AA2B04"/>
    <w:rsid w:val="00AA545B"/>
    <w:rsid w:val="00AA5BA8"/>
    <w:rsid w:val="00AB069D"/>
    <w:rsid w:val="00AB26AD"/>
    <w:rsid w:val="00AB2E06"/>
    <w:rsid w:val="00AB3E6C"/>
    <w:rsid w:val="00AB4429"/>
    <w:rsid w:val="00AB518A"/>
    <w:rsid w:val="00AB5B2E"/>
    <w:rsid w:val="00AB5F2F"/>
    <w:rsid w:val="00AB6CCB"/>
    <w:rsid w:val="00AB75B2"/>
    <w:rsid w:val="00AB7602"/>
    <w:rsid w:val="00AC01A4"/>
    <w:rsid w:val="00AC1AD9"/>
    <w:rsid w:val="00AC1E77"/>
    <w:rsid w:val="00AC330A"/>
    <w:rsid w:val="00AC3CA3"/>
    <w:rsid w:val="00AC4A42"/>
    <w:rsid w:val="00AC4F98"/>
    <w:rsid w:val="00AC5AAE"/>
    <w:rsid w:val="00AC7622"/>
    <w:rsid w:val="00AD191F"/>
    <w:rsid w:val="00AD36A3"/>
    <w:rsid w:val="00AD3E23"/>
    <w:rsid w:val="00AD4A25"/>
    <w:rsid w:val="00AD4C48"/>
    <w:rsid w:val="00AD67F8"/>
    <w:rsid w:val="00AD6909"/>
    <w:rsid w:val="00AE069F"/>
    <w:rsid w:val="00AE11DD"/>
    <w:rsid w:val="00AE1673"/>
    <w:rsid w:val="00AE332C"/>
    <w:rsid w:val="00AE5474"/>
    <w:rsid w:val="00AE7964"/>
    <w:rsid w:val="00AF0A86"/>
    <w:rsid w:val="00AF0C96"/>
    <w:rsid w:val="00AF1388"/>
    <w:rsid w:val="00AF1BDD"/>
    <w:rsid w:val="00AF2E09"/>
    <w:rsid w:val="00AF3118"/>
    <w:rsid w:val="00AF452A"/>
    <w:rsid w:val="00AF5A94"/>
    <w:rsid w:val="00AF5D48"/>
    <w:rsid w:val="00AF602B"/>
    <w:rsid w:val="00AF63BA"/>
    <w:rsid w:val="00AF656A"/>
    <w:rsid w:val="00AF7D1F"/>
    <w:rsid w:val="00B0034F"/>
    <w:rsid w:val="00B00848"/>
    <w:rsid w:val="00B013B3"/>
    <w:rsid w:val="00B02F80"/>
    <w:rsid w:val="00B03BDC"/>
    <w:rsid w:val="00B03C78"/>
    <w:rsid w:val="00B03DDD"/>
    <w:rsid w:val="00B07994"/>
    <w:rsid w:val="00B10239"/>
    <w:rsid w:val="00B1046C"/>
    <w:rsid w:val="00B11426"/>
    <w:rsid w:val="00B11607"/>
    <w:rsid w:val="00B1225F"/>
    <w:rsid w:val="00B134B7"/>
    <w:rsid w:val="00B16748"/>
    <w:rsid w:val="00B17386"/>
    <w:rsid w:val="00B209F0"/>
    <w:rsid w:val="00B20FA7"/>
    <w:rsid w:val="00B2132F"/>
    <w:rsid w:val="00B21962"/>
    <w:rsid w:val="00B21DF6"/>
    <w:rsid w:val="00B242B6"/>
    <w:rsid w:val="00B2598B"/>
    <w:rsid w:val="00B25AF4"/>
    <w:rsid w:val="00B30269"/>
    <w:rsid w:val="00B30800"/>
    <w:rsid w:val="00B3165B"/>
    <w:rsid w:val="00B3183B"/>
    <w:rsid w:val="00B32676"/>
    <w:rsid w:val="00B338C5"/>
    <w:rsid w:val="00B350FF"/>
    <w:rsid w:val="00B35266"/>
    <w:rsid w:val="00B365F3"/>
    <w:rsid w:val="00B4022B"/>
    <w:rsid w:val="00B40508"/>
    <w:rsid w:val="00B42D8D"/>
    <w:rsid w:val="00B46308"/>
    <w:rsid w:val="00B46AD1"/>
    <w:rsid w:val="00B51E19"/>
    <w:rsid w:val="00B52DA8"/>
    <w:rsid w:val="00B54184"/>
    <w:rsid w:val="00B54D47"/>
    <w:rsid w:val="00B54EC5"/>
    <w:rsid w:val="00B5605B"/>
    <w:rsid w:val="00B562E7"/>
    <w:rsid w:val="00B573CF"/>
    <w:rsid w:val="00B57FC1"/>
    <w:rsid w:val="00B60AC5"/>
    <w:rsid w:val="00B62EDB"/>
    <w:rsid w:val="00B632D9"/>
    <w:rsid w:val="00B635BB"/>
    <w:rsid w:val="00B63754"/>
    <w:rsid w:val="00B6464E"/>
    <w:rsid w:val="00B64E4F"/>
    <w:rsid w:val="00B66CC4"/>
    <w:rsid w:val="00B6700F"/>
    <w:rsid w:val="00B673CC"/>
    <w:rsid w:val="00B71539"/>
    <w:rsid w:val="00B717D8"/>
    <w:rsid w:val="00B72C6F"/>
    <w:rsid w:val="00B7427B"/>
    <w:rsid w:val="00B74754"/>
    <w:rsid w:val="00B74C91"/>
    <w:rsid w:val="00B8132E"/>
    <w:rsid w:val="00B813B6"/>
    <w:rsid w:val="00B82319"/>
    <w:rsid w:val="00B826C6"/>
    <w:rsid w:val="00B8744B"/>
    <w:rsid w:val="00B87496"/>
    <w:rsid w:val="00B87701"/>
    <w:rsid w:val="00B87751"/>
    <w:rsid w:val="00B87E6D"/>
    <w:rsid w:val="00B90581"/>
    <w:rsid w:val="00B9180F"/>
    <w:rsid w:val="00B92026"/>
    <w:rsid w:val="00B933D2"/>
    <w:rsid w:val="00B93422"/>
    <w:rsid w:val="00B942FF"/>
    <w:rsid w:val="00B9431B"/>
    <w:rsid w:val="00B9581A"/>
    <w:rsid w:val="00B96154"/>
    <w:rsid w:val="00B965A5"/>
    <w:rsid w:val="00B96BA1"/>
    <w:rsid w:val="00B9705D"/>
    <w:rsid w:val="00B9722E"/>
    <w:rsid w:val="00B97343"/>
    <w:rsid w:val="00B97B5E"/>
    <w:rsid w:val="00B97CF6"/>
    <w:rsid w:val="00BA2C3F"/>
    <w:rsid w:val="00BA31EB"/>
    <w:rsid w:val="00BA3A83"/>
    <w:rsid w:val="00BA4396"/>
    <w:rsid w:val="00BA4C55"/>
    <w:rsid w:val="00BA4E38"/>
    <w:rsid w:val="00BA6774"/>
    <w:rsid w:val="00BB0E4C"/>
    <w:rsid w:val="00BB3123"/>
    <w:rsid w:val="00BB3D49"/>
    <w:rsid w:val="00BB3E7D"/>
    <w:rsid w:val="00BB60FE"/>
    <w:rsid w:val="00BB7BE6"/>
    <w:rsid w:val="00BC1F35"/>
    <w:rsid w:val="00BC2B63"/>
    <w:rsid w:val="00BC5092"/>
    <w:rsid w:val="00BC53E7"/>
    <w:rsid w:val="00BD023F"/>
    <w:rsid w:val="00BD212D"/>
    <w:rsid w:val="00BD27DD"/>
    <w:rsid w:val="00BD4539"/>
    <w:rsid w:val="00BD5786"/>
    <w:rsid w:val="00BD637F"/>
    <w:rsid w:val="00BE0049"/>
    <w:rsid w:val="00BE31F4"/>
    <w:rsid w:val="00BE4608"/>
    <w:rsid w:val="00BE4FBC"/>
    <w:rsid w:val="00BF047A"/>
    <w:rsid w:val="00BF1923"/>
    <w:rsid w:val="00BF1B93"/>
    <w:rsid w:val="00BF2447"/>
    <w:rsid w:val="00BF2655"/>
    <w:rsid w:val="00BF3C17"/>
    <w:rsid w:val="00BF41D9"/>
    <w:rsid w:val="00BF5D75"/>
    <w:rsid w:val="00BF672B"/>
    <w:rsid w:val="00BF6834"/>
    <w:rsid w:val="00C0051A"/>
    <w:rsid w:val="00C0095B"/>
    <w:rsid w:val="00C00A19"/>
    <w:rsid w:val="00C01980"/>
    <w:rsid w:val="00C01E08"/>
    <w:rsid w:val="00C0327A"/>
    <w:rsid w:val="00C03593"/>
    <w:rsid w:val="00C03B7F"/>
    <w:rsid w:val="00C03B98"/>
    <w:rsid w:val="00C04CB3"/>
    <w:rsid w:val="00C06167"/>
    <w:rsid w:val="00C07148"/>
    <w:rsid w:val="00C07DF8"/>
    <w:rsid w:val="00C12492"/>
    <w:rsid w:val="00C14389"/>
    <w:rsid w:val="00C149CF"/>
    <w:rsid w:val="00C15692"/>
    <w:rsid w:val="00C15C79"/>
    <w:rsid w:val="00C174CB"/>
    <w:rsid w:val="00C20BC5"/>
    <w:rsid w:val="00C210B8"/>
    <w:rsid w:val="00C233CB"/>
    <w:rsid w:val="00C23A9F"/>
    <w:rsid w:val="00C2622C"/>
    <w:rsid w:val="00C301A5"/>
    <w:rsid w:val="00C30921"/>
    <w:rsid w:val="00C314BD"/>
    <w:rsid w:val="00C32985"/>
    <w:rsid w:val="00C33663"/>
    <w:rsid w:val="00C34169"/>
    <w:rsid w:val="00C34CB1"/>
    <w:rsid w:val="00C37380"/>
    <w:rsid w:val="00C4043E"/>
    <w:rsid w:val="00C44280"/>
    <w:rsid w:val="00C47FF4"/>
    <w:rsid w:val="00C5069B"/>
    <w:rsid w:val="00C51630"/>
    <w:rsid w:val="00C51F56"/>
    <w:rsid w:val="00C52931"/>
    <w:rsid w:val="00C5383C"/>
    <w:rsid w:val="00C55147"/>
    <w:rsid w:val="00C55C86"/>
    <w:rsid w:val="00C57420"/>
    <w:rsid w:val="00C57DDE"/>
    <w:rsid w:val="00C6092D"/>
    <w:rsid w:val="00C61BFD"/>
    <w:rsid w:val="00C62F94"/>
    <w:rsid w:val="00C639B1"/>
    <w:rsid w:val="00C64208"/>
    <w:rsid w:val="00C642C4"/>
    <w:rsid w:val="00C66690"/>
    <w:rsid w:val="00C70A50"/>
    <w:rsid w:val="00C71965"/>
    <w:rsid w:val="00C71DAE"/>
    <w:rsid w:val="00C71EBE"/>
    <w:rsid w:val="00C737FF"/>
    <w:rsid w:val="00C73F6B"/>
    <w:rsid w:val="00C74B80"/>
    <w:rsid w:val="00C751AF"/>
    <w:rsid w:val="00C82529"/>
    <w:rsid w:val="00C83F7B"/>
    <w:rsid w:val="00C841D9"/>
    <w:rsid w:val="00C85919"/>
    <w:rsid w:val="00C9053E"/>
    <w:rsid w:val="00C94CE2"/>
    <w:rsid w:val="00C958F1"/>
    <w:rsid w:val="00C96EC3"/>
    <w:rsid w:val="00C97AB6"/>
    <w:rsid w:val="00CA0E23"/>
    <w:rsid w:val="00CA1CDE"/>
    <w:rsid w:val="00CA22F8"/>
    <w:rsid w:val="00CA2CB6"/>
    <w:rsid w:val="00CA58A8"/>
    <w:rsid w:val="00CA69AD"/>
    <w:rsid w:val="00CA707D"/>
    <w:rsid w:val="00CA71CB"/>
    <w:rsid w:val="00CB0308"/>
    <w:rsid w:val="00CB2C62"/>
    <w:rsid w:val="00CB316A"/>
    <w:rsid w:val="00CB3833"/>
    <w:rsid w:val="00CB66C9"/>
    <w:rsid w:val="00CB6F9B"/>
    <w:rsid w:val="00CC1BB5"/>
    <w:rsid w:val="00CC2471"/>
    <w:rsid w:val="00CC2D23"/>
    <w:rsid w:val="00CC3559"/>
    <w:rsid w:val="00CC4E8E"/>
    <w:rsid w:val="00CC631F"/>
    <w:rsid w:val="00CC71A0"/>
    <w:rsid w:val="00CC7AAB"/>
    <w:rsid w:val="00CD0A80"/>
    <w:rsid w:val="00CD2902"/>
    <w:rsid w:val="00CD4385"/>
    <w:rsid w:val="00CD71B8"/>
    <w:rsid w:val="00CD7217"/>
    <w:rsid w:val="00CE2BCF"/>
    <w:rsid w:val="00CE400D"/>
    <w:rsid w:val="00CE68A7"/>
    <w:rsid w:val="00CE7478"/>
    <w:rsid w:val="00CE7AE4"/>
    <w:rsid w:val="00CF07E4"/>
    <w:rsid w:val="00CF0D0B"/>
    <w:rsid w:val="00CF1739"/>
    <w:rsid w:val="00CF400C"/>
    <w:rsid w:val="00CF47BB"/>
    <w:rsid w:val="00CF5ED9"/>
    <w:rsid w:val="00D01BE7"/>
    <w:rsid w:val="00D046D8"/>
    <w:rsid w:val="00D054DE"/>
    <w:rsid w:val="00D05EDB"/>
    <w:rsid w:val="00D067B3"/>
    <w:rsid w:val="00D07017"/>
    <w:rsid w:val="00D1197E"/>
    <w:rsid w:val="00D12940"/>
    <w:rsid w:val="00D13D29"/>
    <w:rsid w:val="00D14C68"/>
    <w:rsid w:val="00D15796"/>
    <w:rsid w:val="00D225DE"/>
    <w:rsid w:val="00D22B1A"/>
    <w:rsid w:val="00D24058"/>
    <w:rsid w:val="00D24C97"/>
    <w:rsid w:val="00D252A1"/>
    <w:rsid w:val="00D2742B"/>
    <w:rsid w:val="00D319A1"/>
    <w:rsid w:val="00D319BC"/>
    <w:rsid w:val="00D33C83"/>
    <w:rsid w:val="00D34487"/>
    <w:rsid w:val="00D360F0"/>
    <w:rsid w:val="00D36D9C"/>
    <w:rsid w:val="00D36F2F"/>
    <w:rsid w:val="00D3755C"/>
    <w:rsid w:val="00D3792D"/>
    <w:rsid w:val="00D37A3C"/>
    <w:rsid w:val="00D40276"/>
    <w:rsid w:val="00D415AA"/>
    <w:rsid w:val="00D435FA"/>
    <w:rsid w:val="00D4579A"/>
    <w:rsid w:val="00D46B89"/>
    <w:rsid w:val="00D46F05"/>
    <w:rsid w:val="00D47421"/>
    <w:rsid w:val="00D4784E"/>
    <w:rsid w:val="00D52887"/>
    <w:rsid w:val="00D55F73"/>
    <w:rsid w:val="00D5648C"/>
    <w:rsid w:val="00D564C1"/>
    <w:rsid w:val="00D57412"/>
    <w:rsid w:val="00D577B3"/>
    <w:rsid w:val="00D6075A"/>
    <w:rsid w:val="00D64697"/>
    <w:rsid w:val="00D65478"/>
    <w:rsid w:val="00D65DCC"/>
    <w:rsid w:val="00D67225"/>
    <w:rsid w:val="00D70657"/>
    <w:rsid w:val="00D72571"/>
    <w:rsid w:val="00D7297C"/>
    <w:rsid w:val="00D72A42"/>
    <w:rsid w:val="00D75D3D"/>
    <w:rsid w:val="00D763C0"/>
    <w:rsid w:val="00D80148"/>
    <w:rsid w:val="00D8186A"/>
    <w:rsid w:val="00D8190E"/>
    <w:rsid w:val="00D83C49"/>
    <w:rsid w:val="00D83FF7"/>
    <w:rsid w:val="00D846C2"/>
    <w:rsid w:val="00D857D2"/>
    <w:rsid w:val="00D85ABB"/>
    <w:rsid w:val="00D85F35"/>
    <w:rsid w:val="00D86226"/>
    <w:rsid w:val="00D86D2C"/>
    <w:rsid w:val="00D87CC5"/>
    <w:rsid w:val="00D90834"/>
    <w:rsid w:val="00D90967"/>
    <w:rsid w:val="00D91427"/>
    <w:rsid w:val="00D95986"/>
    <w:rsid w:val="00DA0171"/>
    <w:rsid w:val="00DA3499"/>
    <w:rsid w:val="00DA3633"/>
    <w:rsid w:val="00DA4601"/>
    <w:rsid w:val="00DA46B4"/>
    <w:rsid w:val="00DA62C5"/>
    <w:rsid w:val="00DA6E74"/>
    <w:rsid w:val="00DB3CA3"/>
    <w:rsid w:val="00DB4826"/>
    <w:rsid w:val="00DB5C8B"/>
    <w:rsid w:val="00DB7370"/>
    <w:rsid w:val="00DB7E46"/>
    <w:rsid w:val="00DC0538"/>
    <w:rsid w:val="00DC224B"/>
    <w:rsid w:val="00DC240D"/>
    <w:rsid w:val="00DC2DBE"/>
    <w:rsid w:val="00DC5AED"/>
    <w:rsid w:val="00DC6A03"/>
    <w:rsid w:val="00DC7001"/>
    <w:rsid w:val="00DD2F83"/>
    <w:rsid w:val="00DD531A"/>
    <w:rsid w:val="00DD6855"/>
    <w:rsid w:val="00DE0116"/>
    <w:rsid w:val="00DE0CE2"/>
    <w:rsid w:val="00DE1191"/>
    <w:rsid w:val="00DE1347"/>
    <w:rsid w:val="00DE30C4"/>
    <w:rsid w:val="00DE42BC"/>
    <w:rsid w:val="00DE5217"/>
    <w:rsid w:val="00DF1462"/>
    <w:rsid w:val="00DF1DDC"/>
    <w:rsid w:val="00DF21B5"/>
    <w:rsid w:val="00DF27F9"/>
    <w:rsid w:val="00DF34C9"/>
    <w:rsid w:val="00DF5010"/>
    <w:rsid w:val="00DF5362"/>
    <w:rsid w:val="00DF5617"/>
    <w:rsid w:val="00DF7B9B"/>
    <w:rsid w:val="00E00DE9"/>
    <w:rsid w:val="00E00E98"/>
    <w:rsid w:val="00E028DB"/>
    <w:rsid w:val="00E03A2D"/>
    <w:rsid w:val="00E05CDB"/>
    <w:rsid w:val="00E0669C"/>
    <w:rsid w:val="00E11FDE"/>
    <w:rsid w:val="00E13197"/>
    <w:rsid w:val="00E15743"/>
    <w:rsid w:val="00E166CF"/>
    <w:rsid w:val="00E213BA"/>
    <w:rsid w:val="00E221EE"/>
    <w:rsid w:val="00E2306C"/>
    <w:rsid w:val="00E249C0"/>
    <w:rsid w:val="00E259EC"/>
    <w:rsid w:val="00E26392"/>
    <w:rsid w:val="00E26759"/>
    <w:rsid w:val="00E3019D"/>
    <w:rsid w:val="00E32053"/>
    <w:rsid w:val="00E32EF9"/>
    <w:rsid w:val="00E33B53"/>
    <w:rsid w:val="00E3456A"/>
    <w:rsid w:val="00E34929"/>
    <w:rsid w:val="00E34C97"/>
    <w:rsid w:val="00E34D7C"/>
    <w:rsid w:val="00E35863"/>
    <w:rsid w:val="00E40F75"/>
    <w:rsid w:val="00E44043"/>
    <w:rsid w:val="00E44AE0"/>
    <w:rsid w:val="00E44EFA"/>
    <w:rsid w:val="00E4668B"/>
    <w:rsid w:val="00E468B4"/>
    <w:rsid w:val="00E47246"/>
    <w:rsid w:val="00E518C9"/>
    <w:rsid w:val="00E52E46"/>
    <w:rsid w:val="00E54E42"/>
    <w:rsid w:val="00E569B5"/>
    <w:rsid w:val="00E57A31"/>
    <w:rsid w:val="00E57CF2"/>
    <w:rsid w:val="00E613FC"/>
    <w:rsid w:val="00E617E5"/>
    <w:rsid w:val="00E62FAE"/>
    <w:rsid w:val="00E63128"/>
    <w:rsid w:val="00E6375C"/>
    <w:rsid w:val="00E63BA0"/>
    <w:rsid w:val="00E65523"/>
    <w:rsid w:val="00E65844"/>
    <w:rsid w:val="00E65A0F"/>
    <w:rsid w:val="00E67D57"/>
    <w:rsid w:val="00E7099C"/>
    <w:rsid w:val="00E71621"/>
    <w:rsid w:val="00E72F1D"/>
    <w:rsid w:val="00E73B79"/>
    <w:rsid w:val="00E74C83"/>
    <w:rsid w:val="00E763F5"/>
    <w:rsid w:val="00E769A4"/>
    <w:rsid w:val="00E77DCD"/>
    <w:rsid w:val="00E81615"/>
    <w:rsid w:val="00E818FB"/>
    <w:rsid w:val="00E82AB6"/>
    <w:rsid w:val="00E8301C"/>
    <w:rsid w:val="00E84F9B"/>
    <w:rsid w:val="00E85031"/>
    <w:rsid w:val="00E87563"/>
    <w:rsid w:val="00E879BC"/>
    <w:rsid w:val="00E905C2"/>
    <w:rsid w:val="00E91682"/>
    <w:rsid w:val="00E91E09"/>
    <w:rsid w:val="00E94498"/>
    <w:rsid w:val="00EA01F7"/>
    <w:rsid w:val="00EA29A5"/>
    <w:rsid w:val="00EA2F5A"/>
    <w:rsid w:val="00EA38BE"/>
    <w:rsid w:val="00EA3CD6"/>
    <w:rsid w:val="00EA473F"/>
    <w:rsid w:val="00EA620F"/>
    <w:rsid w:val="00EB1B30"/>
    <w:rsid w:val="00EB36CC"/>
    <w:rsid w:val="00EB4608"/>
    <w:rsid w:val="00EB467C"/>
    <w:rsid w:val="00EB49D9"/>
    <w:rsid w:val="00EB4B82"/>
    <w:rsid w:val="00EB52FC"/>
    <w:rsid w:val="00EB5972"/>
    <w:rsid w:val="00EC2D3E"/>
    <w:rsid w:val="00ED0727"/>
    <w:rsid w:val="00ED1302"/>
    <w:rsid w:val="00ED30D6"/>
    <w:rsid w:val="00ED382C"/>
    <w:rsid w:val="00ED4679"/>
    <w:rsid w:val="00ED52F8"/>
    <w:rsid w:val="00ED6F15"/>
    <w:rsid w:val="00ED7B0B"/>
    <w:rsid w:val="00ED7FCC"/>
    <w:rsid w:val="00EE015F"/>
    <w:rsid w:val="00EE1199"/>
    <w:rsid w:val="00EE1A87"/>
    <w:rsid w:val="00EE2042"/>
    <w:rsid w:val="00EE2621"/>
    <w:rsid w:val="00EE270E"/>
    <w:rsid w:val="00EE28B8"/>
    <w:rsid w:val="00EE4B28"/>
    <w:rsid w:val="00EE6770"/>
    <w:rsid w:val="00EE6FC5"/>
    <w:rsid w:val="00EE74B3"/>
    <w:rsid w:val="00EE7653"/>
    <w:rsid w:val="00EE7707"/>
    <w:rsid w:val="00EE7A89"/>
    <w:rsid w:val="00EE7E94"/>
    <w:rsid w:val="00EF2BCC"/>
    <w:rsid w:val="00EF58C5"/>
    <w:rsid w:val="00EF5E3A"/>
    <w:rsid w:val="00EF6900"/>
    <w:rsid w:val="00EF79C5"/>
    <w:rsid w:val="00EF7FB5"/>
    <w:rsid w:val="00F01A50"/>
    <w:rsid w:val="00F10747"/>
    <w:rsid w:val="00F1120E"/>
    <w:rsid w:val="00F12D54"/>
    <w:rsid w:val="00F139FB"/>
    <w:rsid w:val="00F15139"/>
    <w:rsid w:val="00F156C4"/>
    <w:rsid w:val="00F202A0"/>
    <w:rsid w:val="00F20640"/>
    <w:rsid w:val="00F2126A"/>
    <w:rsid w:val="00F219E1"/>
    <w:rsid w:val="00F22F1B"/>
    <w:rsid w:val="00F238C0"/>
    <w:rsid w:val="00F23AB4"/>
    <w:rsid w:val="00F24BA4"/>
    <w:rsid w:val="00F266AB"/>
    <w:rsid w:val="00F26FA9"/>
    <w:rsid w:val="00F30605"/>
    <w:rsid w:val="00F320E7"/>
    <w:rsid w:val="00F3477C"/>
    <w:rsid w:val="00F348F1"/>
    <w:rsid w:val="00F35326"/>
    <w:rsid w:val="00F3591E"/>
    <w:rsid w:val="00F36B0C"/>
    <w:rsid w:val="00F37885"/>
    <w:rsid w:val="00F37C91"/>
    <w:rsid w:val="00F37D96"/>
    <w:rsid w:val="00F37E8F"/>
    <w:rsid w:val="00F40904"/>
    <w:rsid w:val="00F410C7"/>
    <w:rsid w:val="00F411E2"/>
    <w:rsid w:val="00F429A5"/>
    <w:rsid w:val="00F45A2F"/>
    <w:rsid w:val="00F479E7"/>
    <w:rsid w:val="00F50CA5"/>
    <w:rsid w:val="00F52122"/>
    <w:rsid w:val="00F53363"/>
    <w:rsid w:val="00F53ED5"/>
    <w:rsid w:val="00F53F3A"/>
    <w:rsid w:val="00F57017"/>
    <w:rsid w:val="00F60237"/>
    <w:rsid w:val="00F628C5"/>
    <w:rsid w:val="00F62DB8"/>
    <w:rsid w:val="00F64E88"/>
    <w:rsid w:val="00F6558F"/>
    <w:rsid w:val="00F66074"/>
    <w:rsid w:val="00F67842"/>
    <w:rsid w:val="00F704E8"/>
    <w:rsid w:val="00F712AB"/>
    <w:rsid w:val="00F72DAF"/>
    <w:rsid w:val="00F72F83"/>
    <w:rsid w:val="00F73773"/>
    <w:rsid w:val="00F740BC"/>
    <w:rsid w:val="00F74FD7"/>
    <w:rsid w:val="00F75726"/>
    <w:rsid w:val="00F759AA"/>
    <w:rsid w:val="00F7653A"/>
    <w:rsid w:val="00F779AE"/>
    <w:rsid w:val="00F82638"/>
    <w:rsid w:val="00F83773"/>
    <w:rsid w:val="00F84168"/>
    <w:rsid w:val="00F864B9"/>
    <w:rsid w:val="00F86535"/>
    <w:rsid w:val="00F86A2A"/>
    <w:rsid w:val="00F87835"/>
    <w:rsid w:val="00F9109A"/>
    <w:rsid w:val="00F91166"/>
    <w:rsid w:val="00F93564"/>
    <w:rsid w:val="00F93C0A"/>
    <w:rsid w:val="00F94A1C"/>
    <w:rsid w:val="00F95AB2"/>
    <w:rsid w:val="00F961EC"/>
    <w:rsid w:val="00F96CD2"/>
    <w:rsid w:val="00F96E02"/>
    <w:rsid w:val="00FA0072"/>
    <w:rsid w:val="00FA068D"/>
    <w:rsid w:val="00FA18A1"/>
    <w:rsid w:val="00FA243C"/>
    <w:rsid w:val="00FA3DFD"/>
    <w:rsid w:val="00FA4785"/>
    <w:rsid w:val="00FA4D18"/>
    <w:rsid w:val="00FA6229"/>
    <w:rsid w:val="00FA66DC"/>
    <w:rsid w:val="00FA77EB"/>
    <w:rsid w:val="00FA7A29"/>
    <w:rsid w:val="00FB0A3A"/>
    <w:rsid w:val="00FB2207"/>
    <w:rsid w:val="00FB3316"/>
    <w:rsid w:val="00FB35C2"/>
    <w:rsid w:val="00FB4AB1"/>
    <w:rsid w:val="00FB6AC9"/>
    <w:rsid w:val="00FC0EED"/>
    <w:rsid w:val="00FC1358"/>
    <w:rsid w:val="00FC1E4C"/>
    <w:rsid w:val="00FC3CF1"/>
    <w:rsid w:val="00FC6428"/>
    <w:rsid w:val="00FC6DC0"/>
    <w:rsid w:val="00FC6E21"/>
    <w:rsid w:val="00FC70E2"/>
    <w:rsid w:val="00FC7757"/>
    <w:rsid w:val="00FD4077"/>
    <w:rsid w:val="00FD4BB6"/>
    <w:rsid w:val="00FD5986"/>
    <w:rsid w:val="00FD5D32"/>
    <w:rsid w:val="00FD7187"/>
    <w:rsid w:val="00FE18A6"/>
    <w:rsid w:val="00FE3490"/>
    <w:rsid w:val="00FE358B"/>
    <w:rsid w:val="00FE42BD"/>
    <w:rsid w:val="00FE50E4"/>
    <w:rsid w:val="00FE5731"/>
    <w:rsid w:val="00FE5FC2"/>
    <w:rsid w:val="00FE6D2F"/>
    <w:rsid w:val="00FE7CAA"/>
    <w:rsid w:val="00FE7D1A"/>
    <w:rsid w:val="00FF1193"/>
    <w:rsid w:val="00FF150D"/>
    <w:rsid w:val="00FF1A5E"/>
    <w:rsid w:val="00FF1DB3"/>
    <w:rsid w:val="00FF302D"/>
    <w:rsid w:val="00FF3827"/>
    <w:rsid w:val="00FF4202"/>
    <w:rsid w:val="00FF4A89"/>
    <w:rsid w:val="00FF62B3"/>
    <w:rsid w:val="00FF6623"/>
    <w:rsid w:val="00FF67A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3C7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03C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C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3C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03C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03C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03C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03C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03C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03C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B03C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03C7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03C7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03C7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03C7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03C7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03C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03C7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C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C7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03C78"/>
    <w:rPr>
      <w:b/>
      <w:bCs/>
    </w:rPr>
  </w:style>
  <w:style w:type="character" w:styleId="Nadruk">
    <w:name w:val="Emphasis"/>
    <w:uiPriority w:val="20"/>
    <w:qFormat/>
    <w:rsid w:val="00B03C7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03C78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B03C7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03C7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03C7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3C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3C7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03C7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03C7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03C7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03C7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03C7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03C78"/>
    <w:pPr>
      <w:outlineLvl w:val="9"/>
    </w:pPr>
    <w:rPr>
      <w:lang w:bidi="en-US"/>
    </w:r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03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3C7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03C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C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3C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03C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03C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03C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03C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03C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03C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B03C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03C7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03C7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03C7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03C7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03C7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03C7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03C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03C7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C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C7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03C78"/>
    <w:rPr>
      <w:b/>
      <w:bCs/>
    </w:rPr>
  </w:style>
  <w:style w:type="character" w:styleId="Nadruk">
    <w:name w:val="Emphasis"/>
    <w:uiPriority w:val="20"/>
    <w:qFormat/>
    <w:rsid w:val="00B03C7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03C78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B03C7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03C7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03C7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3C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3C7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03C7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03C7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03C7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03C7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03C7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03C78"/>
    <w:pPr>
      <w:outlineLvl w:val="9"/>
    </w:pPr>
    <w:rPr>
      <w:lang w:bidi="en-US"/>
    </w:r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03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DVD</cp:lastModifiedBy>
  <cp:revision>2</cp:revision>
  <dcterms:created xsi:type="dcterms:W3CDTF">2013-10-23T15:12:00Z</dcterms:created>
  <dcterms:modified xsi:type="dcterms:W3CDTF">2013-10-23T15:12:00Z</dcterms:modified>
</cp:coreProperties>
</file>